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5A9C7" w14:textId="64FF0C66" w:rsidR="00A40E69" w:rsidRDefault="00A7419E">
      <w:pPr>
        <w:rPr>
          <w:lang w:val="bg-BG"/>
        </w:rPr>
      </w:pPr>
      <w:r w:rsidRPr="00000B30">
        <w:rPr>
          <w:rFonts w:ascii="Times New Roman" w:hAnsi="Times New Roman"/>
          <w:noProof/>
          <w:sz w:val="48"/>
          <w:szCs w:val="48"/>
        </w:rPr>
        <w:drawing>
          <wp:inline distT="0" distB="0" distL="0" distR="0" wp14:anchorId="278BA077" wp14:editId="3297AEED">
            <wp:extent cx="5939790" cy="938530"/>
            <wp:effectExtent l="0" t="0" r="3810" b="0"/>
            <wp:docPr id="1" name="Picture 1" descr="C:\Users\admin\Downloads\cropped-logo-ia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cropped-logo-iae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9790" cy="938530"/>
                    </a:xfrm>
                    <a:prstGeom prst="rect">
                      <a:avLst/>
                    </a:prstGeom>
                    <a:noFill/>
                    <a:ln>
                      <a:noFill/>
                    </a:ln>
                  </pic:spPr>
                </pic:pic>
              </a:graphicData>
            </a:graphic>
          </wp:inline>
        </w:drawing>
      </w:r>
    </w:p>
    <w:p w14:paraId="5364C6CD" w14:textId="5DE23CA1" w:rsidR="00A7419E" w:rsidRDefault="00A7419E" w:rsidP="00A7419E">
      <w:pPr>
        <w:jc w:val="center"/>
        <w:rPr>
          <w:rFonts w:ascii="Times New Roman" w:hAnsi="Times New Roman" w:cs="Times New Roman"/>
          <w:sz w:val="28"/>
          <w:szCs w:val="28"/>
        </w:rPr>
      </w:pPr>
      <w:r w:rsidRPr="00A7419E">
        <w:rPr>
          <w:rFonts w:ascii="Times New Roman" w:hAnsi="Times New Roman" w:cs="Times New Roman"/>
          <w:sz w:val="28"/>
          <w:szCs w:val="28"/>
        </w:rPr>
        <w:t>Department of “Economics and Management of Organi</w:t>
      </w:r>
      <w:r w:rsidR="00406058">
        <w:rPr>
          <w:rFonts w:ascii="Times New Roman" w:hAnsi="Times New Roman" w:cs="Times New Roman"/>
          <w:sz w:val="28"/>
          <w:szCs w:val="28"/>
        </w:rPr>
        <w:t>z</w:t>
      </w:r>
      <w:r w:rsidRPr="00A7419E">
        <w:rPr>
          <w:rFonts w:ascii="Times New Roman" w:hAnsi="Times New Roman" w:cs="Times New Roman"/>
          <w:sz w:val="28"/>
          <w:szCs w:val="28"/>
        </w:rPr>
        <w:t>ations in Agriculture and Rural Areas”</w:t>
      </w:r>
    </w:p>
    <w:p w14:paraId="3960A5BC" w14:textId="77777777" w:rsidR="00A7419E" w:rsidRPr="00A7419E" w:rsidRDefault="00A7419E" w:rsidP="00A7419E">
      <w:pPr>
        <w:jc w:val="center"/>
        <w:rPr>
          <w:rFonts w:ascii="Times New Roman" w:hAnsi="Times New Roman" w:cs="Times New Roman"/>
          <w:sz w:val="28"/>
          <w:szCs w:val="28"/>
        </w:rPr>
      </w:pPr>
    </w:p>
    <w:p w14:paraId="0F688ED6" w14:textId="27875461" w:rsidR="00A7419E" w:rsidRDefault="00A7419E" w:rsidP="00A7419E">
      <w:pPr>
        <w:jc w:val="center"/>
        <w:rPr>
          <w:rFonts w:ascii="Times New Roman" w:hAnsi="Times New Roman" w:cs="Times New Roman"/>
          <w:sz w:val="28"/>
          <w:szCs w:val="28"/>
        </w:rPr>
      </w:pPr>
      <w:r w:rsidRPr="00A7419E">
        <w:rPr>
          <w:rFonts w:ascii="Times New Roman" w:hAnsi="Times New Roman" w:cs="Times New Roman"/>
          <w:sz w:val="28"/>
          <w:szCs w:val="28"/>
        </w:rPr>
        <w:t xml:space="preserve">Daniel Petrov </w:t>
      </w:r>
      <w:proofErr w:type="spellStart"/>
      <w:r w:rsidRPr="00A7419E">
        <w:rPr>
          <w:rFonts w:ascii="Times New Roman" w:hAnsi="Times New Roman" w:cs="Times New Roman"/>
          <w:sz w:val="28"/>
          <w:szCs w:val="28"/>
        </w:rPr>
        <w:t>Petrov</w:t>
      </w:r>
      <w:proofErr w:type="spellEnd"/>
    </w:p>
    <w:p w14:paraId="21618E4E" w14:textId="77777777" w:rsidR="00A7419E" w:rsidRDefault="00A7419E" w:rsidP="00A7419E">
      <w:pPr>
        <w:jc w:val="center"/>
        <w:rPr>
          <w:rFonts w:ascii="Times New Roman" w:hAnsi="Times New Roman" w:cs="Times New Roman"/>
          <w:sz w:val="28"/>
          <w:szCs w:val="28"/>
        </w:rPr>
      </w:pPr>
    </w:p>
    <w:p w14:paraId="11AF69F8" w14:textId="77777777" w:rsidR="00A7419E" w:rsidRPr="00A7419E" w:rsidRDefault="00A7419E" w:rsidP="00A7419E">
      <w:pPr>
        <w:jc w:val="center"/>
        <w:rPr>
          <w:rFonts w:ascii="Times New Roman" w:hAnsi="Times New Roman" w:cs="Times New Roman"/>
          <w:sz w:val="28"/>
          <w:szCs w:val="28"/>
        </w:rPr>
      </w:pPr>
    </w:p>
    <w:p w14:paraId="393C73B8" w14:textId="77777777" w:rsidR="00A7419E" w:rsidRDefault="00A7419E" w:rsidP="00A7419E">
      <w:pPr>
        <w:jc w:val="center"/>
        <w:rPr>
          <w:rFonts w:ascii="Times New Roman" w:hAnsi="Times New Roman" w:cs="Times New Roman"/>
          <w:b/>
          <w:bCs/>
          <w:sz w:val="32"/>
          <w:szCs w:val="32"/>
        </w:rPr>
      </w:pPr>
      <w:r w:rsidRPr="00A7419E">
        <w:rPr>
          <w:rFonts w:ascii="Times New Roman" w:hAnsi="Times New Roman" w:cs="Times New Roman"/>
          <w:b/>
          <w:bCs/>
          <w:sz w:val="32"/>
          <w:szCs w:val="32"/>
        </w:rPr>
        <w:t>The Role of Sustainable Practices in Increasing the Economic and Environmental Efficiency of Agricultural Holdings in the Context of the Green Deal</w:t>
      </w:r>
    </w:p>
    <w:p w14:paraId="1C2FD984" w14:textId="408CE233" w:rsidR="00A7419E" w:rsidRDefault="00A7419E" w:rsidP="00A7419E">
      <w:pPr>
        <w:jc w:val="center"/>
        <w:rPr>
          <w:rFonts w:ascii="Times New Roman" w:hAnsi="Times New Roman" w:cs="Times New Roman"/>
          <w:sz w:val="32"/>
          <w:szCs w:val="32"/>
        </w:rPr>
      </w:pPr>
    </w:p>
    <w:p w14:paraId="49CF75CE" w14:textId="77777777" w:rsidR="00A7419E" w:rsidRPr="00A7419E" w:rsidRDefault="00A7419E" w:rsidP="00A7419E">
      <w:pPr>
        <w:jc w:val="center"/>
        <w:rPr>
          <w:rFonts w:ascii="Times New Roman" w:hAnsi="Times New Roman" w:cs="Times New Roman"/>
          <w:sz w:val="32"/>
          <w:szCs w:val="32"/>
        </w:rPr>
      </w:pPr>
    </w:p>
    <w:p w14:paraId="5F303AB9" w14:textId="610C62F7" w:rsidR="00A7419E" w:rsidRDefault="00A7419E" w:rsidP="00A7419E">
      <w:pPr>
        <w:jc w:val="center"/>
        <w:rPr>
          <w:rFonts w:ascii="Times New Roman" w:hAnsi="Times New Roman" w:cs="Times New Roman"/>
          <w:b/>
          <w:bCs/>
          <w:sz w:val="32"/>
          <w:szCs w:val="32"/>
        </w:rPr>
      </w:pPr>
      <w:r w:rsidRPr="00A7419E">
        <w:rPr>
          <w:rFonts w:ascii="Times New Roman" w:hAnsi="Times New Roman" w:cs="Times New Roman"/>
          <w:b/>
          <w:bCs/>
          <w:sz w:val="32"/>
          <w:szCs w:val="32"/>
        </w:rPr>
        <w:t>ABSTRACT</w:t>
      </w:r>
    </w:p>
    <w:p w14:paraId="597F9DEF" w14:textId="77777777" w:rsidR="00A7419E" w:rsidRPr="00A7419E" w:rsidRDefault="00A7419E" w:rsidP="00A7419E">
      <w:pPr>
        <w:jc w:val="center"/>
        <w:rPr>
          <w:rFonts w:ascii="Times New Roman" w:hAnsi="Times New Roman" w:cs="Times New Roman"/>
          <w:sz w:val="32"/>
          <w:szCs w:val="32"/>
        </w:rPr>
      </w:pPr>
    </w:p>
    <w:p w14:paraId="5849C617" w14:textId="537EDA30" w:rsidR="00A7419E" w:rsidRDefault="00A7419E" w:rsidP="00A7419E">
      <w:pPr>
        <w:jc w:val="center"/>
        <w:rPr>
          <w:rFonts w:ascii="Times New Roman" w:hAnsi="Times New Roman" w:cs="Times New Roman"/>
          <w:sz w:val="28"/>
          <w:szCs w:val="28"/>
        </w:rPr>
      </w:pPr>
      <w:r w:rsidRPr="00A7419E">
        <w:rPr>
          <w:rFonts w:ascii="Times New Roman" w:hAnsi="Times New Roman" w:cs="Times New Roman"/>
          <w:sz w:val="28"/>
          <w:szCs w:val="28"/>
        </w:rPr>
        <w:t>of the dissertation thesis for the award of the educational and scientific degree “Doctor” in the scientific specialty “Economics and Management (Agriculture)” professional field 3.8 “Economics”</w:t>
      </w:r>
    </w:p>
    <w:p w14:paraId="765972FF" w14:textId="1BA5D90B" w:rsidR="00A7419E" w:rsidRDefault="00A7419E" w:rsidP="00A7419E">
      <w:pPr>
        <w:jc w:val="center"/>
        <w:rPr>
          <w:rFonts w:ascii="Times New Roman" w:hAnsi="Times New Roman" w:cs="Times New Roman"/>
          <w:sz w:val="28"/>
          <w:szCs w:val="28"/>
        </w:rPr>
      </w:pPr>
    </w:p>
    <w:p w14:paraId="1F257C0D" w14:textId="77777777" w:rsidR="00A7419E" w:rsidRDefault="00A7419E" w:rsidP="00A7419E">
      <w:pPr>
        <w:jc w:val="center"/>
        <w:rPr>
          <w:rFonts w:ascii="Times New Roman" w:hAnsi="Times New Roman" w:cs="Times New Roman"/>
          <w:sz w:val="28"/>
          <w:szCs w:val="28"/>
        </w:rPr>
      </w:pPr>
    </w:p>
    <w:p w14:paraId="490AC1C1" w14:textId="77777777" w:rsidR="00A7419E" w:rsidRPr="00A7419E" w:rsidRDefault="00A7419E" w:rsidP="00A7419E">
      <w:pPr>
        <w:jc w:val="center"/>
        <w:rPr>
          <w:rFonts w:ascii="Times New Roman" w:hAnsi="Times New Roman" w:cs="Times New Roman"/>
          <w:sz w:val="28"/>
          <w:szCs w:val="28"/>
        </w:rPr>
      </w:pPr>
    </w:p>
    <w:p w14:paraId="21413600" w14:textId="77777777" w:rsidR="00A7419E" w:rsidRPr="00A7419E" w:rsidRDefault="00A7419E" w:rsidP="00A7419E">
      <w:pPr>
        <w:jc w:val="center"/>
        <w:rPr>
          <w:rFonts w:ascii="Times New Roman" w:hAnsi="Times New Roman" w:cs="Times New Roman"/>
          <w:sz w:val="28"/>
          <w:szCs w:val="28"/>
        </w:rPr>
      </w:pPr>
      <w:r w:rsidRPr="00A7419E">
        <w:rPr>
          <w:rFonts w:ascii="Times New Roman" w:hAnsi="Times New Roman" w:cs="Times New Roman"/>
          <w:sz w:val="28"/>
          <w:szCs w:val="28"/>
        </w:rPr>
        <w:t>Scientific Supervisor: Prof. Dr. Bozhidar Ivanov</w:t>
      </w:r>
    </w:p>
    <w:p w14:paraId="5DC16914" w14:textId="77777777" w:rsidR="00A7419E" w:rsidRDefault="00A7419E" w:rsidP="00A7419E">
      <w:pPr>
        <w:jc w:val="center"/>
        <w:rPr>
          <w:rFonts w:ascii="Times New Roman" w:hAnsi="Times New Roman" w:cs="Times New Roman"/>
          <w:sz w:val="28"/>
          <w:szCs w:val="28"/>
        </w:rPr>
      </w:pPr>
      <w:r w:rsidRPr="00A7419E">
        <w:rPr>
          <w:rFonts w:ascii="Times New Roman" w:hAnsi="Times New Roman" w:cs="Times New Roman"/>
          <w:sz w:val="28"/>
          <w:szCs w:val="28"/>
        </w:rPr>
        <w:t>Sofia 2026</w:t>
      </w:r>
    </w:p>
    <w:p w14:paraId="45189141" w14:textId="77777777" w:rsidR="00A7419E" w:rsidRDefault="00A7419E" w:rsidP="00A7419E">
      <w:pPr>
        <w:jc w:val="center"/>
        <w:rPr>
          <w:rFonts w:ascii="Times New Roman" w:hAnsi="Times New Roman" w:cs="Times New Roman"/>
          <w:sz w:val="28"/>
          <w:szCs w:val="28"/>
        </w:rPr>
      </w:pPr>
    </w:p>
    <w:sdt>
      <w:sdtPr>
        <w:rPr>
          <w:rFonts w:asciiTheme="minorHAnsi" w:eastAsiaTheme="minorHAnsi" w:hAnsiTheme="minorHAnsi" w:cstheme="minorBidi"/>
          <w:color w:val="auto"/>
          <w:kern w:val="2"/>
          <w:sz w:val="24"/>
          <w:szCs w:val="24"/>
          <w14:ligatures w14:val="standardContextual"/>
        </w:rPr>
        <w:id w:val="2005073793"/>
        <w:docPartObj>
          <w:docPartGallery w:val="Table of Contents"/>
          <w:docPartUnique/>
        </w:docPartObj>
      </w:sdtPr>
      <w:sdtEndPr>
        <w:rPr>
          <w:b/>
          <w:bCs/>
          <w:noProof/>
        </w:rPr>
      </w:sdtEndPr>
      <w:sdtContent>
        <w:p w14:paraId="1495AA56" w14:textId="68853466" w:rsidR="00507102" w:rsidRPr="00507102" w:rsidRDefault="00507102" w:rsidP="00507102">
          <w:pPr>
            <w:pStyle w:val="TOCHeading"/>
            <w:jc w:val="center"/>
            <w:rPr>
              <w:rFonts w:ascii="Times New Roman" w:hAnsi="Times New Roman" w:cs="Times New Roman"/>
              <w:b/>
              <w:bCs/>
              <w:color w:val="auto"/>
            </w:rPr>
          </w:pPr>
          <w:r>
            <w:rPr>
              <w:rFonts w:ascii="Times New Roman" w:hAnsi="Times New Roman" w:cs="Times New Roman"/>
              <w:b/>
              <w:bCs/>
              <w:color w:val="auto"/>
            </w:rPr>
            <w:t>CONTENTS</w:t>
          </w:r>
        </w:p>
        <w:p w14:paraId="454FFCBC" w14:textId="470D911A" w:rsidR="00507102" w:rsidRPr="00507102" w:rsidRDefault="00507102">
          <w:pPr>
            <w:pStyle w:val="TOC1"/>
            <w:tabs>
              <w:tab w:val="right" w:leader="dot" w:pos="9350"/>
            </w:tabs>
            <w:rPr>
              <w:rFonts w:ascii="Times New Roman" w:hAnsi="Times New Roman" w:cs="Times New Roman"/>
              <w:noProof/>
            </w:rPr>
          </w:pPr>
          <w:r>
            <w:fldChar w:fldCharType="begin"/>
          </w:r>
          <w:r>
            <w:instrText xml:space="preserve"> TOC \o "1-3" \h \z \u </w:instrText>
          </w:r>
          <w:r>
            <w:fldChar w:fldCharType="separate"/>
          </w:r>
          <w:hyperlink w:anchor="_Toc229127770" w:history="1">
            <w:r w:rsidRPr="00507102">
              <w:rPr>
                <w:rStyle w:val="Hyperlink"/>
                <w:rFonts w:ascii="Times New Roman" w:hAnsi="Times New Roman" w:cs="Times New Roman"/>
                <w:b/>
                <w:bCs/>
                <w:noProof/>
              </w:rPr>
              <w:t>I. GENERAL CHARACTERISTICS OF THE DISSERTATION</w:t>
            </w:r>
            <w:r w:rsidRPr="00507102">
              <w:rPr>
                <w:rFonts w:ascii="Times New Roman" w:hAnsi="Times New Roman" w:cs="Times New Roman"/>
                <w:noProof/>
                <w:webHidden/>
              </w:rPr>
              <w:tab/>
            </w:r>
            <w:r w:rsidRPr="00507102">
              <w:rPr>
                <w:rFonts w:ascii="Times New Roman" w:hAnsi="Times New Roman" w:cs="Times New Roman"/>
                <w:noProof/>
                <w:webHidden/>
              </w:rPr>
              <w:fldChar w:fldCharType="begin"/>
            </w:r>
            <w:r w:rsidRPr="00507102">
              <w:rPr>
                <w:rFonts w:ascii="Times New Roman" w:hAnsi="Times New Roman" w:cs="Times New Roman"/>
                <w:noProof/>
                <w:webHidden/>
              </w:rPr>
              <w:instrText xml:space="preserve"> PAGEREF _Toc229127770 \h </w:instrText>
            </w:r>
            <w:r w:rsidRPr="00507102">
              <w:rPr>
                <w:rFonts w:ascii="Times New Roman" w:hAnsi="Times New Roman" w:cs="Times New Roman"/>
                <w:noProof/>
                <w:webHidden/>
              </w:rPr>
            </w:r>
            <w:r w:rsidRPr="00507102">
              <w:rPr>
                <w:rFonts w:ascii="Times New Roman" w:hAnsi="Times New Roman" w:cs="Times New Roman"/>
                <w:noProof/>
                <w:webHidden/>
              </w:rPr>
              <w:fldChar w:fldCharType="separate"/>
            </w:r>
            <w:r w:rsidRPr="00507102">
              <w:rPr>
                <w:rFonts w:ascii="Times New Roman" w:hAnsi="Times New Roman" w:cs="Times New Roman"/>
                <w:noProof/>
                <w:webHidden/>
              </w:rPr>
              <w:t>2</w:t>
            </w:r>
            <w:r w:rsidRPr="00507102">
              <w:rPr>
                <w:rFonts w:ascii="Times New Roman" w:hAnsi="Times New Roman" w:cs="Times New Roman"/>
                <w:noProof/>
                <w:webHidden/>
              </w:rPr>
              <w:fldChar w:fldCharType="end"/>
            </w:r>
          </w:hyperlink>
        </w:p>
        <w:p w14:paraId="289F91EA" w14:textId="6AF88A25" w:rsidR="00507102" w:rsidRPr="00507102" w:rsidRDefault="00507102">
          <w:pPr>
            <w:pStyle w:val="TOC1"/>
            <w:tabs>
              <w:tab w:val="right" w:leader="dot" w:pos="9350"/>
            </w:tabs>
            <w:rPr>
              <w:rFonts w:ascii="Times New Roman" w:hAnsi="Times New Roman" w:cs="Times New Roman"/>
              <w:noProof/>
            </w:rPr>
          </w:pPr>
          <w:hyperlink w:anchor="_Toc229127771" w:history="1">
            <w:r w:rsidRPr="00507102">
              <w:rPr>
                <w:rStyle w:val="Hyperlink"/>
                <w:rFonts w:ascii="Times New Roman" w:hAnsi="Times New Roman" w:cs="Times New Roman"/>
                <w:b/>
                <w:bCs/>
                <w:noProof/>
              </w:rPr>
              <w:t>II. SYNTHESISED EXPOSITION OF THE DISSERTATION</w:t>
            </w:r>
            <w:r w:rsidRPr="00507102">
              <w:rPr>
                <w:rFonts w:ascii="Times New Roman" w:hAnsi="Times New Roman" w:cs="Times New Roman"/>
                <w:noProof/>
                <w:webHidden/>
              </w:rPr>
              <w:tab/>
            </w:r>
            <w:r w:rsidRPr="00507102">
              <w:rPr>
                <w:rFonts w:ascii="Times New Roman" w:hAnsi="Times New Roman" w:cs="Times New Roman"/>
                <w:noProof/>
                <w:webHidden/>
              </w:rPr>
              <w:fldChar w:fldCharType="begin"/>
            </w:r>
            <w:r w:rsidRPr="00507102">
              <w:rPr>
                <w:rFonts w:ascii="Times New Roman" w:hAnsi="Times New Roman" w:cs="Times New Roman"/>
                <w:noProof/>
                <w:webHidden/>
              </w:rPr>
              <w:instrText xml:space="preserve"> PAGEREF _Toc229127771 \h </w:instrText>
            </w:r>
            <w:r w:rsidRPr="00507102">
              <w:rPr>
                <w:rFonts w:ascii="Times New Roman" w:hAnsi="Times New Roman" w:cs="Times New Roman"/>
                <w:noProof/>
                <w:webHidden/>
              </w:rPr>
            </w:r>
            <w:r w:rsidRPr="00507102">
              <w:rPr>
                <w:rFonts w:ascii="Times New Roman" w:hAnsi="Times New Roman" w:cs="Times New Roman"/>
                <w:noProof/>
                <w:webHidden/>
              </w:rPr>
              <w:fldChar w:fldCharType="separate"/>
            </w:r>
            <w:r w:rsidRPr="00507102">
              <w:rPr>
                <w:rFonts w:ascii="Times New Roman" w:hAnsi="Times New Roman" w:cs="Times New Roman"/>
                <w:noProof/>
                <w:webHidden/>
              </w:rPr>
              <w:t>4</w:t>
            </w:r>
            <w:r w:rsidRPr="00507102">
              <w:rPr>
                <w:rFonts w:ascii="Times New Roman" w:hAnsi="Times New Roman" w:cs="Times New Roman"/>
                <w:noProof/>
                <w:webHidden/>
              </w:rPr>
              <w:fldChar w:fldCharType="end"/>
            </w:r>
          </w:hyperlink>
        </w:p>
        <w:p w14:paraId="0CAD7AC7" w14:textId="1EBED067" w:rsidR="00507102" w:rsidRPr="00507102" w:rsidRDefault="00507102">
          <w:pPr>
            <w:pStyle w:val="TOC2"/>
            <w:tabs>
              <w:tab w:val="right" w:leader="dot" w:pos="9350"/>
            </w:tabs>
            <w:rPr>
              <w:rFonts w:ascii="Times New Roman" w:hAnsi="Times New Roman" w:cs="Times New Roman"/>
              <w:noProof/>
            </w:rPr>
          </w:pPr>
          <w:hyperlink w:anchor="_Toc229127772" w:history="1">
            <w:r w:rsidRPr="00507102">
              <w:rPr>
                <w:rStyle w:val="Hyperlink"/>
                <w:rFonts w:ascii="Times New Roman" w:hAnsi="Times New Roman" w:cs="Times New Roman"/>
                <w:b/>
                <w:bCs/>
                <w:noProof/>
              </w:rPr>
              <w:t>CHAPTER ONE – THEORETICAL AND CONCEPTUAL FRAMEWORK OF THE ECONOMIC AND ENVIRONMENTAL EFFICIENCY OF AGRICULTURAL HOLDINGS IN THE CONTEXT OF THE GREEN DEAL</w:t>
            </w:r>
            <w:r w:rsidRPr="00507102">
              <w:rPr>
                <w:rFonts w:ascii="Times New Roman" w:hAnsi="Times New Roman" w:cs="Times New Roman"/>
                <w:noProof/>
                <w:webHidden/>
              </w:rPr>
              <w:tab/>
            </w:r>
            <w:r w:rsidRPr="00507102">
              <w:rPr>
                <w:rFonts w:ascii="Times New Roman" w:hAnsi="Times New Roman" w:cs="Times New Roman"/>
                <w:noProof/>
                <w:webHidden/>
              </w:rPr>
              <w:fldChar w:fldCharType="begin"/>
            </w:r>
            <w:r w:rsidRPr="00507102">
              <w:rPr>
                <w:rFonts w:ascii="Times New Roman" w:hAnsi="Times New Roman" w:cs="Times New Roman"/>
                <w:noProof/>
                <w:webHidden/>
              </w:rPr>
              <w:instrText xml:space="preserve"> PAGEREF _Toc229127772 \h </w:instrText>
            </w:r>
            <w:r w:rsidRPr="00507102">
              <w:rPr>
                <w:rFonts w:ascii="Times New Roman" w:hAnsi="Times New Roman" w:cs="Times New Roman"/>
                <w:noProof/>
                <w:webHidden/>
              </w:rPr>
            </w:r>
            <w:r w:rsidRPr="00507102">
              <w:rPr>
                <w:rFonts w:ascii="Times New Roman" w:hAnsi="Times New Roman" w:cs="Times New Roman"/>
                <w:noProof/>
                <w:webHidden/>
              </w:rPr>
              <w:fldChar w:fldCharType="separate"/>
            </w:r>
            <w:r w:rsidRPr="00507102">
              <w:rPr>
                <w:rFonts w:ascii="Times New Roman" w:hAnsi="Times New Roman" w:cs="Times New Roman"/>
                <w:noProof/>
                <w:webHidden/>
              </w:rPr>
              <w:t>4</w:t>
            </w:r>
            <w:r w:rsidRPr="00507102">
              <w:rPr>
                <w:rFonts w:ascii="Times New Roman" w:hAnsi="Times New Roman" w:cs="Times New Roman"/>
                <w:noProof/>
                <w:webHidden/>
              </w:rPr>
              <w:fldChar w:fldCharType="end"/>
            </w:r>
          </w:hyperlink>
        </w:p>
        <w:p w14:paraId="764BE3AE" w14:textId="57950D2D" w:rsidR="00507102" w:rsidRPr="00507102" w:rsidRDefault="00507102">
          <w:pPr>
            <w:pStyle w:val="TOC2"/>
            <w:tabs>
              <w:tab w:val="right" w:leader="dot" w:pos="9350"/>
            </w:tabs>
            <w:rPr>
              <w:rFonts w:ascii="Times New Roman" w:hAnsi="Times New Roman" w:cs="Times New Roman"/>
              <w:noProof/>
            </w:rPr>
          </w:pPr>
          <w:hyperlink w:anchor="_Toc229127773" w:history="1">
            <w:r w:rsidRPr="00507102">
              <w:rPr>
                <w:rStyle w:val="Hyperlink"/>
                <w:rFonts w:ascii="Times New Roman" w:hAnsi="Times New Roman" w:cs="Times New Roman"/>
                <w:b/>
                <w:bCs/>
                <w:noProof/>
              </w:rPr>
              <w:t>CHAPTER TWO: METHODOLOGICAL APPROACHES FOR ASSESSING THE ECONOMIC AND ENVIRONMENTAL EFFICIENCY OF AGRICULTURAL HOLDINGS IN THE CONTEXT OF THE GREEN DEAL</w:t>
            </w:r>
            <w:r w:rsidRPr="00507102">
              <w:rPr>
                <w:rFonts w:ascii="Times New Roman" w:hAnsi="Times New Roman" w:cs="Times New Roman"/>
                <w:noProof/>
                <w:webHidden/>
              </w:rPr>
              <w:tab/>
            </w:r>
            <w:r w:rsidRPr="00507102">
              <w:rPr>
                <w:rFonts w:ascii="Times New Roman" w:hAnsi="Times New Roman" w:cs="Times New Roman"/>
                <w:noProof/>
                <w:webHidden/>
              </w:rPr>
              <w:fldChar w:fldCharType="begin"/>
            </w:r>
            <w:r w:rsidRPr="00507102">
              <w:rPr>
                <w:rFonts w:ascii="Times New Roman" w:hAnsi="Times New Roman" w:cs="Times New Roman"/>
                <w:noProof/>
                <w:webHidden/>
              </w:rPr>
              <w:instrText xml:space="preserve"> PAGEREF _Toc229127773 \h </w:instrText>
            </w:r>
            <w:r w:rsidRPr="00507102">
              <w:rPr>
                <w:rFonts w:ascii="Times New Roman" w:hAnsi="Times New Roman" w:cs="Times New Roman"/>
                <w:noProof/>
                <w:webHidden/>
              </w:rPr>
            </w:r>
            <w:r w:rsidRPr="00507102">
              <w:rPr>
                <w:rFonts w:ascii="Times New Roman" w:hAnsi="Times New Roman" w:cs="Times New Roman"/>
                <w:noProof/>
                <w:webHidden/>
              </w:rPr>
              <w:fldChar w:fldCharType="separate"/>
            </w:r>
            <w:r w:rsidRPr="00507102">
              <w:rPr>
                <w:rFonts w:ascii="Times New Roman" w:hAnsi="Times New Roman" w:cs="Times New Roman"/>
                <w:noProof/>
                <w:webHidden/>
              </w:rPr>
              <w:t>16</w:t>
            </w:r>
            <w:r w:rsidRPr="00507102">
              <w:rPr>
                <w:rFonts w:ascii="Times New Roman" w:hAnsi="Times New Roman" w:cs="Times New Roman"/>
                <w:noProof/>
                <w:webHidden/>
              </w:rPr>
              <w:fldChar w:fldCharType="end"/>
            </w:r>
          </w:hyperlink>
        </w:p>
        <w:p w14:paraId="586A7DAD" w14:textId="5F3C63C0" w:rsidR="00507102" w:rsidRPr="00507102" w:rsidRDefault="00507102">
          <w:pPr>
            <w:pStyle w:val="TOC2"/>
            <w:tabs>
              <w:tab w:val="right" w:leader="dot" w:pos="9350"/>
            </w:tabs>
            <w:rPr>
              <w:rFonts w:ascii="Times New Roman" w:hAnsi="Times New Roman" w:cs="Times New Roman"/>
              <w:noProof/>
            </w:rPr>
          </w:pPr>
          <w:hyperlink w:anchor="_Toc229127774" w:history="1">
            <w:r w:rsidRPr="00507102">
              <w:rPr>
                <w:rStyle w:val="Hyperlink"/>
                <w:rFonts w:ascii="Times New Roman" w:hAnsi="Times New Roman" w:cs="Times New Roman"/>
                <w:b/>
                <w:bCs/>
                <w:noProof/>
              </w:rPr>
              <w:t>CHAPTER THREE: STATE AND GUIDELINES FOR INCREASING THE ECONOMIC AND ENVIRONMENTAL EFFICIENCY OF BULGARIAN AGRICULTURAL HOLDINGS</w:t>
            </w:r>
            <w:r w:rsidRPr="00507102">
              <w:rPr>
                <w:rFonts w:ascii="Times New Roman" w:hAnsi="Times New Roman" w:cs="Times New Roman"/>
                <w:noProof/>
                <w:webHidden/>
              </w:rPr>
              <w:tab/>
            </w:r>
            <w:r w:rsidRPr="00507102">
              <w:rPr>
                <w:rFonts w:ascii="Times New Roman" w:hAnsi="Times New Roman" w:cs="Times New Roman"/>
                <w:noProof/>
                <w:webHidden/>
              </w:rPr>
              <w:fldChar w:fldCharType="begin"/>
            </w:r>
            <w:r w:rsidRPr="00507102">
              <w:rPr>
                <w:rFonts w:ascii="Times New Roman" w:hAnsi="Times New Roman" w:cs="Times New Roman"/>
                <w:noProof/>
                <w:webHidden/>
              </w:rPr>
              <w:instrText xml:space="preserve"> PAGEREF _Toc229127774 \h </w:instrText>
            </w:r>
            <w:r w:rsidRPr="00507102">
              <w:rPr>
                <w:rFonts w:ascii="Times New Roman" w:hAnsi="Times New Roman" w:cs="Times New Roman"/>
                <w:noProof/>
                <w:webHidden/>
              </w:rPr>
            </w:r>
            <w:r w:rsidRPr="00507102">
              <w:rPr>
                <w:rFonts w:ascii="Times New Roman" w:hAnsi="Times New Roman" w:cs="Times New Roman"/>
                <w:noProof/>
                <w:webHidden/>
              </w:rPr>
              <w:fldChar w:fldCharType="separate"/>
            </w:r>
            <w:r w:rsidRPr="00507102">
              <w:rPr>
                <w:rFonts w:ascii="Times New Roman" w:hAnsi="Times New Roman" w:cs="Times New Roman"/>
                <w:noProof/>
                <w:webHidden/>
              </w:rPr>
              <w:t>30</w:t>
            </w:r>
            <w:r w:rsidRPr="00507102">
              <w:rPr>
                <w:rFonts w:ascii="Times New Roman" w:hAnsi="Times New Roman" w:cs="Times New Roman"/>
                <w:noProof/>
                <w:webHidden/>
              </w:rPr>
              <w:fldChar w:fldCharType="end"/>
            </w:r>
          </w:hyperlink>
        </w:p>
        <w:p w14:paraId="08642C3E" w14:textId="602EC716" w:rsidR="00507102" w:rsidRPr="00507102" w:rsidRDefault="00507102">
          <w:pPr>
            <w:pStyle w:val="TOC2"/>
            <w:tabs>
              <w:tab w:val="right" w:leader="dot" w:pos="9350"/>
            </w:tabs>
            <w:rPr>
              <w:rFonts w:ascii="Times New Roman" w:hAnsi="Times New Roman" w:cs="Times New Roman"/>
              <w:noProof/>
            </w:rPr>
          </w:pPr>
          <w:hyperlink w:anchor="_Toc229127775" w:history="1">
            <w:r w:rsidRPr="00507102">
              <w:rPr>
                <w:rStyle w:val="Hyperlink"/>
                <w:rFonts w:ascii="Times New Roman" w:hAnsi="Times New Roman" w:cs="Times New Roman"/>
                <w:b/>
                <w:bCs/>
                <w:noProof/>
              </w:rPr>
              <w:t>CHAPTER FOUR: APPLICABLE DIMENSIONS AND RECOMMENDATIONS FOR INCREASING THE ECONOMIC AND ENVIRONMENTAL EFFICIENCY OF AGRICULTURAL FARMS UNDER THE CONDITIONS OF THE EU GREEN DEAL</w:t>
            </w:r>
            <w:r w:rsidRPr="00507102">
              <w:rPr>
                <w:rFonts w:ascii="Times New Roman" w:hAnsi="Times New Roman" w:cs="Times New Roman"/>
                <w:noProof/>
                <w:webHidden/>
              </w:rPr>
              <w:tab/>
            </w:r>
            <w:r w:rsidRPr="00507102">
              <w:rPr>
                <w:rFonts w:ascii="Times New Roman" w:hAnsi="Times New Roman" w:cs="Times New Roman"/>
                <w:noProof/>
                <w:webHidden/>
              </w:rPr>
              <w:fldChar w:fldCharType="begin"/>
            </w:r>
            <w:r w:rsidRPr="00507102">
              <w:rPr>
                <w:rFonts w:ascii="Times New Roman" w:hAnsi="Times New Roman" w:cs="Times New Roman"/>
                <w:noProof/>
                <w:webHidden/>
              </w:rPr>
              <w:instrText xml:space="preserve"> PAGEREF _Toc229127775 \h </w:instrText>
            </w:r>
            <w:r w:rsidRPr="00507102">
              <w:rPr>
                <w:rFonts w:ascii="Times New Roman" w:hAnsi="Times New Roman" w:cs="Times New Roman"/>
                <w:noProof/>
                <w:webHidden/>
              </w:rPr>
            </w:r>
            <w:r w:rsidRPr="00507102">
              <w:rPr>
                <w:rFonts w:ascii="Times New Roman" w:hAnsi="Times New Roman" w:cs="Times New Roman"/>
                <w:noProof/>
                <w:webHidden/>
              </w:rPr>
              <w:fldChar w:fldCharType="separate"/>
            </w:r>
            <w:r w:rsidRPr="00507102">
              <w:rPr>
                <w:rFonts w:ascii="Times New Roman" w:hAnsi="Times New Roman" w:cs="Times New Roman"/>
                <w:noProof/>
                <w:webHidden/>
              </w:rPr>
              <w:t>42</w:t>
            </w:r>
            <w:r w:rsidRPr="00507102">
              <w:rPr>
                <w:rFonts w:ascii="Times New Roman" w:hAnsi="Times New Roman" w:cs="Times New Roman"/>
                <w:noProof/>
                <w:webHidden/>
              </w:rPr>
              <w:fldChar w:fldCharType="end"/>
            </w:r>
          </w:hyperlink>
        </w:p>
        <w:p w14:paraId="06020A90" w14:textId="5D05035A" w:rsidR="00507102" w:rsidRPr="00507102" w:rsidRDefault="00507102">
          <w:pPr>
            <w:pStyle w:val="TOC2"/>
            <w:tabs>
              <w:tab w:val="right" w:leader="dot" w:pos="9350"/>
            </w:tabs>
            <w:rPr>
              <w:rFonts w:ascii="Times New Roman" w:hAnsi="Times New Roman" w:cs="Times New Roman"/>
              <w:noProof/>
            </w:rPr>
          </w:pPr>
          <w:hyperlink w:anchor="_Toc229127776" w:history="1">
            <w:r w:rsidRPr="00507102">
              <w:rPr>
                <w:rStyle w:val="Hyperlink"/>
                <w:rFonts w:ascii="Times New Roman" w:hAnsi="Times New Roman" w:cs="Times New Roman"/>
                <w:b/>
                <w:bCs/>
                <w:noProof/>
              </w:rPr>
              <w:t>SUMMARY</w:t>
            </w:r>
            <w:r w:rsidRPr="00507102">
              <w:rPr>
                <w:rFonts w:ascii="Times New Roman" w:hAnsi="Times New Roman" w:cs="Times New Roman"/>
                <w:noProof/>
                <w:webHidden/>
              </w:rPr>
              <w:tab/>
            </w:r>
            <w:r w:rsidRPr="00507102">
              <w:rPr>
                <w:rFonts w:ascii="Times New Roman" w:hAnsi="Times New Roman" w:cs="Times New Roman"/>
                <w:noProof/>
                <w:webHidden/>
              </w:rPr>
              <w:fldChar w:fldCharType="begin"/>
            </w:r>
            <w:r w:rsidRPr="00507102">
              <w:rPr>
                <w:rFonts w:ascii="Times New Roman" w:hAnsi="Times New Roman" w:cs="Times New Roman"/>
                <w:noProof/>
                <w:webHidden/>
              </w:rPr>
              <w:instrText xml:space="preserve"> PAGEREF _Toc229127776 \h </w:instrText>
            </w:r>
            <w:r w:rsidRPr="00507102">
              <w:rPr>
                <w:rFonts w:ascii="Times New Roman" w:hAnsi="Times New Roman" w:cs="Times New Roman"/>
                <w:noProof/>
                <w:webHidden/>
              </w:rPr>
            </w:r>
            <w:r w:rsidRPr="00507102">
              <w:rPr>
                <w:rFonts w:ascii="Times New Roman" w:hAnsi="Times New Roman" w:cs="Times New Roman"/>
                <w:noProof/>
                <w:webHidden/>
              </w:rPr>
              <w:fldChar w:fldCharType="separate"/>
            </w:r>
            <w:r w:rsidRPr="00507102">
              <w:rPr>
                <w:rFonts w:ascii="Times New Roman" w:hAnsi="Times New Roman" w:cs="Times New Roman"/>
                <w:noProof/>
                <w:webHidden/>
              </w:rPr>
              <w:t>46</w:t>
            </w:r>
            <w:r w:rsidRPr="00507102">
              <w:rPr>
                <w:rFonts w:ascii="Times New Roman" w:hAnsi="Times New Roman" w:cs="Times New Roman"/>
                <w:noProof/>
                <w:webHidden/>
              </w:rPr>
              <w:fldChar w:fldCharType="end"/>
            </w:r>
          </w:hyperlink>
        </w:p>
        <w:p w14:paraId="175BE718" w14:textId="553B36D6" w:rsidR="00507102" w:rsidRDefault="00507102">
          <w:pPr>
            <w:pStyle w:val="TOC2"/>
            <w:tabs>
              <w:tab w:val="right" w:leader="dot" w:pos="9350"/>
            </w:tabs>
            <w:rPr>
              <w:noProof/>
            </w:rPr>
          </w:pPr>
          <w:hyperlink w:anchor="_Toc229127777" w:history="1">
            <w:r w:rsidRPr="00507102">
              <w:rPr>
                <w:rStyle w:val="Hyperlink"/>
                <w:rFonts w:ascii="Times New Roman" w:hAnsi="Times New Roman" w:cs="Times New Roman"/>
                <w:b/>
                <w:bCs/>
                <w:noProof/>
              </w:rPr>
              <w:t>SUMMARY OF THE MAIN SCIENTIFIC AND SCIENTIFIC-APPLIED CONTRIBUTIONS OF THE DISSERTATION</w:t>
            </w:r>
            <w:r w:rsidRPr="00507102">
              <w:rPr>
                <w:rFonts w:ascii="Times New Roman" w:hAnsi="Times New Roman" w:cs="Times New Roman"/>
                <w:noProof/>
                <w:webHidden/>
              </w:rPr>
              <w:tab/>
            </w:r>
            <w:r w:rsidRPr="00507102">
              <w:rPr>
                <w:rFonts w:ascii="Times New Roman" w:hAnsi="Times New Roman" w:cs="Times New Roman"/>
                <w:noProof/>
                <w:webHidden/>
              </w:rPr>
              <w:fldChar w:fldCharType="begin"/>
            </w:r>
            <w:r w:rsidRPr="00507102">
              <w:rPr>
                <w:rFonts w:ascii="Times New Roman" w:hAnsi="Times New Roman" w:cs="Times New Roman"/>
                <w:noProof/>
                <w:webHidden/>
              </w:rPr>
              <w:instrText xml:space="preserve"> PAGEREF _Toc229127777 \h </w:instrText>
            </w:r>
            <w:r w:rsidRPr="00507102">
              <w:rPr>
                <w:rFonts w:ascii="Times New Roman" w:hAnsi="Times New Roman" w:cs="Times New Roman"/>
                <w:noProof/>
                <w:webHidden/>
              </w:rPr>
            </w:r>
            <w:r w:rsidRPr="00507102">
              <w:rPr>
                <w:rFonts w:ascii="Times New Roman" w:hAnsi="Times New Roman" w:cs="Times New Roman"/>
                <w:noProof/>
                <w:webHidden/>
              </w:rPr>
              <w:fldChar w:fldCharType="separate"/>
            </w:r>
            <w:r w:rsidRPr="00507102">
              <w:rPr>
                <w:rFonts w:ascii="Times New Roman" w:hAnsi="Times New Roman" w:cs="Times New Roman"/>
                <w:noProof/>
                <w:webHidden/>
              </w:rPr>
              <w:t>48</w:t>
            </w:r>
            <w:r w:rsidRPr="00507102">
              <w:rPr>
                <w:rFonts w:ascii="Times New Roman" w:hAnsi="Times New Roman" w:cs="Times New Roman"/>
                <w:noProof/>
                <w:webHidden/>
              </w:rPr>
              <w:fldChar w:fldCharType="end"/>
            </w:r>
          </w:hyperlink>
        </w:p>
        <w:p w14:paraId="4CB44F5A" w14:textId="5BB3A228" w:rsidR="00507102" w:rsidRDefault="00507102">
          <w:r>
            <w:rPr>
              <w:b/>
              <w:bCs/>
              <w:noProof/>
            </w:rPr>
            <w:fldChar w:fldCharType="end"/>
          </w:r>
        </w:p>
      </w:sdtContent>
    </w:sdt>
    <w:p w14:paraId="3BD3FC3A" w14:textId="77777777" w:rsidR="00507102" w:rsidRDefault="00507102" w:rsidP="00A7419E">
      <w:pPr>
        <w:jc w:val="center"/>
        <w:rPr>
          <w:rFonts w:ascii="Times New Roman" w:hAnsi="Times New Roman" w:cs="Times New Roman"/>
          <w:sz w:val="28"/>
          <w:szCs w:val="28"/>
        </w:rPr>
      </w:pPr>
    </w:p>
    <w:p w14:paraId="77E80A26" w14:textId="77777777" w:rsidR="00A7419E" w:rsidRPr="00507102" w:rsidRDefault="00A7419E" w:rsidP="00507102">
      <w:pPr>
        <w:pStyle w:val="Heading1"/>
        <w:rPr>
          <w:rFonts w:ascii="Times New Roman" w:hAnsi="Times New Roman" w:cs="Times New Roman"/>
          <w:b/>
          <w:bCs/>
          <w:color w:val="auto"/>
          <w:sz w:val="28"/>
          <w:szCs w:val="28"/>
        </w:rPr>
      </w:pPr>
      <w:bookmarkStart w:id="0" w:name="_Toc229127770"/>
      <w:r w:rsidRPr="00507102">
        <w:rPr>
          <w:rFonts w:ascii="Times New Roman" w:hAnsi="Times New Roman" w:cs="Times New Roman"/>
          <w:b/>
          <w:bCs/>
          <w:color w:val="auto"/>
          <w:sz w:val="28"/>
          <w:szCs w:val="28"/>
        </w:rPr>
        <w:t>I. GENERAL CHARACTERISTICS OF THE DISSERTATION</w:t>
      </w:r>
      <w:bookmarkEnd w:id="0"/>
    </w:p>
    <w:p w14:paraId="1BDA4207" w14:textId="77777777" w:rsidR="00A7419E" w:rsidRPr="00A7419E" w:rsidRDefault="00A7419E" w:rsidP="00A7419E">
      <w:pPr>
        <w:spacing w:line="360" w:lineRule="auto"/>
        <w:jc w:val="both"/>
        <w:rPr>
          <w:rFonts w:ascii="Times New Roman" w:hAnsi="Times New Roman" w:cs="Times New Roman"/>
        </w:rPr>
      </w:pPr>
      <w:r w:rsidRPr="00A7419E">
        <w:rPr>
          <w:rFonts w:ascii="Times New Roman" w:hAnsi="Times New Roman" w:cs="Times New Roman"/>
          <w:b/>
          <w:bCs/>
        </w:rPr>
        <w:t>Relevance of the Research Problem</w:t>
      </w:r>
    </w:p>
    <w:p w14:paraId="14618EA4" w14:textId="77777777" w:rsidR="00826E40" w:rsidRDefault="00826E40" w:rsidP="00826E40">
      <w:pPr>
        <w:spacing w:line="360" w:lineRule="auto"/>
        <w:ind w:firstLine="720"/>
        <w:jc w:val="both"/>
        <w:rPr>
          <w:rFonts w:ascii="Times New Roman" w:hAnsi="Times New Roman" w:cs="Times New Roman"/>
        </w:rPr>
      </w:pPr>
      <w:r w:rsidRPr="00826E40">
        <w:rPr>
          <w:rFonts w:ascii="Times New Roman" w:hAnsi="Times New Roman" w:cs="Times New Roman"/>
        </w:rPr>
        <w:t xml:space="preserve">Bulgaria’s agricultural sector, much like those of other EU member states, is entering a phase of profound structural transformation driven by the intensifying impact of climate change, threats to biodiversity, and increasing regulatory requirements for sustainability. In the context of this strategic reorientation, the European Commission announced the European Green Deal in 2019, whose specific objectives for the agricultural sector are detailed in the "Farm to Fork" and "Biodiversity 2030" strategies (European Commission, 2019a, 2019b). The Green Deal represents a long-term framework for achieving climate neutrality by 2050, based on an intersectoral approach and consistency between economic, environmental, and social goals. Unlike previous periods of the Common Agricultural Policy (CAP), it introduces a new governance paradigm </w:t>
      </w:r>
      <w:r w:rsidRPr="00826E40">
        <w:rPr>
          <w:rFonts w:ascii="Times New Roman" w:hAnsi="Times New Roman" w:cs="Times New Roman"/>
        </w:rPr>
        <w:lastRenderedPageBreak/>
        <w:t>focused on increasing resource efficiency, protecting biodiversity, minimizing carbon emissions, and ensuring sustainable development (Huber et al., 2021; Pe'er et al., 2020).</w:t>
      </w:r>
    </w:p>
    <w:p w14:paraId="6DFDF44D" w14:textId="7D0DC593" w:rsidR="00826E40" w:rsidRDefault="00826E40" w:rsidP="00826E40">
      <w:pPr>
        <w:spacing w:line="360" w:lineRule="auto"/>
        <w:ind w:firstLine="720"/>
        <w:jc w:val="both"/>
        <w:rPr>
          <w:rFonts w:ascii="Times New Roman" w:hAnsi="Times New Roman" w:cs="Times New Roman"/>
        </w:rPr>
      </w:pPr>
      <w:r w:rsidRPr="00826E40">
        <w:rPr>
          <w:rFonts w:ascii="Times New Roman" w:hAnsi="Times New Roman" w:cs="Times New Roman"/>
        </w:rPr>
        <w:t>Specific to Bulgaria, the agricultural sector is characterized by pronounced structural fragmentation, regional asymmetries in productivity, and a significant diversity of organizational and economic forms—ranging from highly mechanized industrial farms with strong market integration to small family holdings (</w:t>
      </w:r>
      <w:proofErr w:type="spellStart"/>
      <w:r w:rsidRPr="00826E40">
        <w:rPr>
          <w:rFonts w:ascii="Times New Roman" w:hAnsi="Times New Roman" w:cs="Times New Roman"/>
        </w:rPr>
        <w:t>Koteva</w:t>
      </w:r>
      <w:proofErr w:type="spellEnd"/>
      <w:r w:rsidRPr="00826E40">
        <w:rPr>
          <w:rFonts w:ascii="Times New Roman" w:hAnsi="Times New Roman" w:cs="Times New Roman"/>
        </w:rPr>
        <w:t xml:space="preserve"> and Ivanov, 2020; Bachev, 2022). These structural characteristics define the framework within which the Green Deal is implemented in the country and necessitate an in-depth study of its effects on different types of holdings. In this context, the implementation of sustainable practices offers real opportunities for technological modernization and integration into low-carbon production models, alongside the challenges posed by production transformation requirements. Existing literature on the impact of the Green Deal on agriculture is primarily oriented toward macroeconomic and sectoral analyses—forecasts of production, sectoral income, etc. (Beckman et al., 2020; Janssen et al., 2021; </w:t>
      </w:r>
      <w:proofErr w:type="spellStart"/>
      <w:r w:rsidRPr="00826E40">
        <w:rPr>
          <w:rFonts w:ascii="Times New Roman" w:hAnsi="Times New Roman" w:cs="Times New Roman"/>
        </w:rPr>
        <w:t>Fontagné</w:t>
      </w:r>
      <w:proofErr w:type="spellEnd"/>
      <w:r w:rsidRPr="00826E40">
        <w:rPr>
          <w:rFonts w:ascii="Times New Roman" w:hAnsi="Times New Roman" w:cs="Times New Roman"/>
        </w:rPr>
        <w:t xml:space="preserve"> et al., 2022). While these studies form a solid analytical foundation, they do not inherently address the differentiated impact of the Green Deal on individual types of holdings nor evaluate the economic and environmental efficiency of sustainable practices at the microeconomic level. A number of authors in Central and Eastern Europe are already shifting their focus toward the implementation of the Green Deal in countries with heterogeneous farming structures (Loughrey et al., 2022; </w:t>
      </w:r>
      <w:proofErr w:type="spellStart"/>
      <w:r w:rsidRPr="00826E40">
        <w:rPr>
          <w:rFonts w:ascii="Times New Roman" w:hAnsi="Times New Roman" w:cs="Times New Roman"/>
        </w:rPr>
        <w:t>Vrček</w:t>
      </w:r>
      <w:proofErr w:type="spellEnd"/>
      <w:r w:rsidRPr="00826E40">
        <w:rPr>
          <w:rFonts w:ascii="Times New Roman" w:hAnsi="Times New Roman" w:cs="Times New Roman"/>
        </w:rPr>
        <w:t xml:space="preserve"> et al., 2023). In Bulgaria, research in this field covers a wide range of analytical perspectives—from the conceptual and institutional aspects of sustainability and organizational-economic models of farms to the environmental dimensions of agricultural policy (Bachev and Ivanov, 2025; Georgiev, 2024; </w:t>
      </w:r>
      <w:proofErr w:type="spellStart"/>
      <w:r w:rsidRPr="00826E40">
        <w:rPr>
          <w:rFonts w:ascii="Times New Roman" w:hAnsi="Times New Roman" w:cs="Times New Roman"/>
        </w:rPr>
        <w:t>Plachkova</w:t>
      </w:r>
      <w:proofErr w:type="spellEnd"/>
      <w:r w:rsidRPr="00826E40">
        <w:rPr>
          <w:rFonts w:ascii="Times New Roman" w:hAnsi="Times New Roman" w:cs="Times New Roman"/>
        </w:rPr>
        <w:t>, 2025). The present work builds upon this body of research by proposing an integrated assessment of the role of sustainable practices in enhancing the economic and environmental efficiency of agricultural holdings by type and size—an analytical dimension that complements established theoretical and sectoral frameworks and provides an empirical basis for implementing Green Deal requirements within the Bulgarian agricultural context.</w:t>
      </w:r>
    </w:p>
    <w:p w14:paraId="39C3968E" w14:textId="61B1685F" w:rsidR="00A7419E" w:rsidRPr="00A7419E" w:rsidRDefault="00A7419E" w:rsidP="00826E40">
      <w:pPr>
        <w:spacing w:line="360" w:lineRule="auto"/>
        <w:jc w:val="both"/>
        <w:rPr>
          <w:rFonts w:ascii="Times New Roman" w:hAnsi="Times New Roman" w:cs="Times New Roman"/>
        </w:rPr>
      </w:pPr>
      <w:r w:rsidRPr="00A7419E">
        <w:rPr>
          <w:rFonts w:ascii="Times New Roman" w:hAnsi="Times New Roman" w:cs="Times New Roman"/>
          <w:b/>
          <w:bCs/>
        </w:rPr>
        <w:t>Object and Subject of the Research</w:t>
      </w:r>
    </w:p>
    <w:p w14:paraId="55D9C45A" w14:textId="77777777" w:rsidR="00A7419E" w:rsidRDefault="00A7419E" w:rsidP="00A7419E">
      <w:pPr>
        <w:spacing w:line="360" w:lineRule="auto"/>
        <w:ind w:firstLine="720"/>
        <w:jc w:val="both"/>
        <w:rPr>
          <w:rFonts w:ascii="Times New Roman" w:hAnsi="Times New Roman" w:cs="Times New Roman"/>
        </w:rPr>
      </w:pPr>
      <w:r w:rsidRPr="00A7419E">
        <w:rPr>
          <w:rFonts w:ascii="Times New Roman" w:hAnsi="Times New Roman" w:cs="Times New Roman"/>
        </w:rPr>
        <w:t xml:space="preserve">The </w:t>
      </w:r>
      <w:r w:rsidRPr="00A7419E">
        <w:rPr>
          <w:rFonts w:ascii="Times New Roman" w:hAnsi="Times New Roman" w:cs="Times New Roman"/>
          <w:b/>
          <w:bCs/>
        </w:rPr>
        <w:t>object</w:t>
      </w:r>
      <w:r w:rsidRPr="00A7419E">
        <w:rPr>
          <w:rFonts w:ascii="Times New Roman" w:hAnsi="Times New Roman" w:cs="Times New Roman"/>
        </w:rPr>
        <w:t xml:space="preserve"> of the research are the agricultural holdings in Bulgaria, </w:t>
      </w:r>
      <w:proofErr w:type="spellStart"/>
      <w:r w:rsidRPr="00A7419E">
        <w:rPr>
          <w:rFonts w:ascii="Times New Roman" w:hAnsi="Times New Roman" w:cs="Times New Roman"/>
        </w:rPr>
        <w:t>analysed</w:t>
      </w:r>
      <w:proofErr w:type="spellEnd"/>
      <w:r w:rsidRPr="00A7419E">
        <w:rPr>
          <w:rFonts w:ascii="Times New Roman" w:hAnsi="Times New Roman" w:cs="Times New Roman"/>
        </w:rPr>
        <w:t xml:space="preserve"> differentially according to three main dimensions: economic size, </w:t>
      </w:r>
      <w:proofErr w:type="spellStart"/>
      <w:r w:rsidRPr="00A7419E">
        <w:rPr>
          <w:rFonts w:ascii="Times New Roman" w:hAnsi="Times New Roman" w:cs="Times New Roman"/>
        </w:rPr>
        <w:t>specialisation</w:t>
      </w:r>
      <w:proofErr w:type="spellEnd"/>
      <w:r w:rsidRPr="00A7419E">
        <w:rPr>
          <w:rFonts w:ascii="Times New Roman" w:hAnsi="Times New Roman" w:cs="Times New Roman"/>
        </w:rPr>
        <w:t xml:space="preserve"> and production model.</w:t>
      </w:r>
    </w:p>
    <w:p w14:paraId="47534DDD" w14:textId="61DEE5F5" w:rsidR="00A7419E" w:rsidRPr="00A7419E" w:rsidRDefault="00A7419E" w:rsidP="00A7419E">
      <w:pPr>
        <w:spacing w:line="360" w:lineRule="auto"/>
        <w:ind w:firstLine="720"/>
        <w:jc w:val="both"/>
        <w:rPr>
          <w:rFonts w:ascii="Times New Roman" w:hAnsi="Times New Roman" w:cs="Times New Roman"/>
        </w:rPr>
      </w:pPr>
      <w:r w:rsidRPr="00A7419E">
        <w:rPr>
          <w:rFonts w:ascii="Times New Roman" w:hAnsi="Times New Roman" w:cs="Times New Roman"/>
        </w:rPr>
        <w:lastRenderedPageBreak/>
        <w:t xml:space="preserve">The </w:t>
      </w:r>
      <w:r w:rsidRPr="00A7419E">
        <w:rPr>
          <w:rFonts w:ascii="Times New Roman" w:hAnsi="Times New Roman" w:cs="Times New Roman"/>
          <w:b/>
          <w:bCs/>
        </w:rPr>
        <w:t>subject</w:t>
      </w:r>
      <w:r w:rsidRPr="00A7419E">
        <w:rPr>
          <w:rFonts w:ascii="Times New Roman" w:hAnsi="Times New Roman" w:cs="Times New Roman"/>
        </w:rPr>
        <w:t xml:space="preserve"> of the research is the economic and environmental efficiency of agricultural holdings in the context of the regulatory requirements of the Green Deal, as well as the effects of applying various sustainable practices (such as minimum tillage, cover crops, precision </w:t>
      </w:r>
      <w:proofErr w:type="spellStart"/>
      <w:r w:rsidRPr="00A7419E">
        <w:rPr>
          <w:rFonts w:ascii="Times New Roman" w:hAnsi="Times New Roman" w:cs="Times New Roman"/>
        </w:rPr>
        <w:t>fertilisation</w:t>
      </w:r>
      <w:proofErr w:type="spellEnd"/>
      <w:r w:rsidRPr="00A7419E">
        <w:rPr>
          <w:rFonts w:ascii="Times New Roman" w:hAnsi="Times New Roman" w:cs="Times New Roman"/>
        </w:rPr>
        <w:t xml:space="preserve"> and integrated pest management) and the possibilities for their large-scale implementation in real production conditions.</w:t>
      </w:r>
    </w:p>
    <w:p w14:paraId="3E4B50AE" w14:textId="77777777" w:rsidR="00A7419E" w:rsidRPr="00A7419E" w:rsidRDefault="00A7419E" w:rsidP="00A7419E">
      <w:pPr>
        <w:spacing w:line="360" w:lineRule="auto"/>
        <w:jc w:val="both"/>
        <w:rPr>
          <w:rFonts w:ascii="Times New Roman" w:hAnsi="Times New Roman" w:cs="Times New Roman"/>
        </w:rPr>
      </w:pPr>
      <w:r w:rsidRPr="00A7419E">
        <w:rPr>
          <w:rFonts w:ascii="Times New Roman" w:hAnsi="Times New Roman" w:cs="Times New Roman"/>
          <w:b/>
          <w:bCs/>
        </w:rPr>
        <w:t>Aim and Tasks of the Research</w:t>
      </w:r>
    </w:p>
    <w:p w14:paraId="5D79B363" w14:textId="77777777" w:rsidR="00826E40" w:rsidRDefault="00A7419E" w:rsidP="00A7419E">
      <w:pPr>
        <w:spacing w:line="360" w:lineRule="auto"/>
        <w:jc w:val="both"/>
        <w:rPr>
          <w:rFonts w:ascii="Times New Roman" w:hAnsi="Times New Roman" w:cs="Times New Roman"/>
        </w:rPr>
      </w:pPr>
      <w:r w:rsidRPr="00A7419E">
        <w:rPr>
          <w:rFonts w:ascii="Times New Roman" w:hAnsi="Times New Roman" w:cs="Times New Roman"/>
          <w:b/>
          <w:bCs/>
        </w:rPr>
        <w:t>Aim:</w:t>
      </w:r>
      <w:r w:rsidRPr="00A7419E">
        <w:rPr>
          <w:rFonts w:ascii="Times New Roman" w:hAnsi="Times New Roman" w:cs="Times New Roman"/>
        </w:rPr>
        <w:t xml:space="preserve"> </w:t>
      </w:r>
      <w:r w:rsidR="00826E40" w:rsidRPr="00826E40">
        <w:rPr>
          <w:rFonts w:ascii="Times New Roman" w:hAnsi="Times New Roman" w:cs="Times New Roman"/>
        </w:rPr>
        <w:t>To investigate the economic and environmental efficiency of agricultural holdings in Bulgaria and analyze the role of sustainable agricultural practices in enhancing them within the context of the Green Deal.</w:t>
      </w:r>
    </w:p>
    <w:p w14:paraId="7228522D" w14:textId="6672CEF0" w:rsidR="00A7419E" w:rsidRPr="00A7419E" w:rsidRDefault="00A7419E" w:rsidP="00A7419E">
      <w:pPr>
        <w:spacing w:line="360" w:lineRule="auto"/>
        <w:jc w:val="both"/>
        <w:rPr>
          <w:rFonts w:ascii="Times New Roman" w:hAnsi="Times New Roman" w:cs="Times New Roman"/>
        </w:rPr>
      </w:pPr>
      <w:r w:rsidRPr="00A7419E">
        <w:rPr>
          <w:rFonts w:ascii="Times New Roman" w:hAnsi="Times New Roman" w:cs="Times New Roman"/>
        </w:rPr>
        <w:t>To achieve this aim, the following research tasks have been formulated:</w:t>
      </w:r>
    </w:p>
    <w:p w14:paraId="0FE58721" w14:textId="77777777" w:rsidR="00A7419E" w:rsidRPr="00A7419E" w:rsidRDefault="00A7419E" w:rsidP="00A7419E">
      <w:pPr>
        <w:numPr>
          <w:ilvl w:val="0"/>
          <w:numId w:val="1"/>
        </w:numPr>
        <w:spacing w:line="360" w:lineRule="auto"/>
        <w:jc w:val="both"/>
        <w:rPr>
          <w:rFonts w:ascii="Times New Roman" w:hAnsi="Times New Roman" w:cs="Times New Roman"/>
        </w:rPr>
      </w:pPr>
      <w:r w:rsidRPr="00A7419E">
        <w:rPr>
          <w:rFonts w:ascii="Times New Roman" w:hAnsi="Times New Roman" w:cs="Times New Roman"/>
        </w:rPr>
        <w:t>To examine the theoretical foundations of the economic and environmental efficiency of agricultural holdings;</w:t>
      </w:r>
    </w:p>
    <w:p w14:paraId="737DBD59" w14:textId="77777777" w:rsidR="00A7419E" w:rsidRPr="00A7419E" w:rsidRDefault="00A7419E" w:rsidP="00A7419E">
      <w:pPr>
        <w:numPr>
          <w:ilvl w:val="0"/>
          <w:numId w:val="1"/>
        </w:numPr>
        <w:spacing w:line="360" w:lineRule="auto"/>
        <w:jc w:val="both"/>
        <w:rPr>
          <w:rFonts w:ascii="Times New Roman" w:hAnsi="Times New Roman" w:cs="Times New Roman"/>
        </w:rPr>
      </w:pPr>
      <w:r w:rsidRPr="00A7419E">
        <w:rPr>
          <w:rFonts w:ascii="Times New Roman" w:hAnsi="Times New Roman" w:cs="Times New Roman"/>
        </w:rPr>
        <w:t>To develop a methodological toolkit for assessing the economic and environmental efficiency of Bulgarian agricultural holdings under the conditions of the Green Deal;</w:t>
      </w:r>
    </w:p>
    <w:p w14:paraId="39D600A9" w14:textId="77777777" w:rsidR="00A7419E" w:rsidRPr="00A7419E" w:rsidRDefault="00A7419E" w:rsidP="00A7419E">
      <w:pPr>
        <w:numPr>
          <w:ilvl w:val="0"/>
          <w:numId w:val="1"/>
        </w:numPr>
        <w:spacing w:line="360" w:lineRule="auto"/>
        <w:jc w:val="both"/>
        <w:rPr>
          <w:rFonts w:ascii="Times New Roman" w:hAnsi="Times New Roman" w:cs="Times New Roman"/>
        </w:rPr>
      </w:pPr>
      <w:r w:rsidRPr="00A7419E">
        <w:rPr>
          <w:rFonts w:ascii="Times New Roman" w:hAnsi="Times New Roman" w:cs="Times New Roman"/>
        </w:rPr>
        <w:t>To evaluate the economic and environmental efficiency of agricultural holdings in Bulgaria according to their typology and size;</w:t>
      </w:r>
    </w:p>
    <w:p w14:paraId="61E41AA6" w14:textId="77777777" w:rsidR="00A7419E" w:rsidRPr="00A7419E" w:rsidRDefault="00A7419E" w:rsidP="00A7419E">
      <w:pPr>
        <w:numPr>
          <w:ilvl w:val="0"/>
          <w:numId w:val="1"/>
        </w:numPr>
        <w:spacing w:line="360" w:lineRule="auto"/>
        <w:jc w:val="both"/>
        <w:rPr>
          <w:rFonts w:ascii="Times New Roman" w:hAnsi="Times New Roman" w:cs="Times New Roman"/>
        </w:rPr>
      </w:pPr>
      <w:r w:rsidRPr="00A7419E">
        <w:rPr>
          <w:rFonts w:ascii="Times New Roman" w:hAnsi="Times New Roman" w:cs="Times New Roman"/>
        </w:rPr>
        <w:t xml:space="preserve">To identify and </w:t>
      </w:r>
      <w:proofErr w:type="spellStart"/>
      <w:r w:rsidRPr="00A7419E">
        <w:rPr>
          <w:rFonts w:ascii="Times New Roman" w:hAnsi="Times New Roman" w:cs="Times New Roman"/>
        </w:rPr>
        <w:t>analyse</w:t>
      </w:r>
      <w:proofErr w:type="spellEnd"/>
      <w:r w:rsidRPr="00A7419E">
        <w:rPr>
          <w:rFonts w:ascii="Times New Roman" w:hAnsi="Times New Roman" w:cs="Times New Roman"/>
        </w:rPr>
        <w:t xml:space="preserve"> the factors influencing the adoption and implementation of sustainable practices by Bulgarian farmers;</w:t>
      </w:r>
    </w:p>
    <w:p w14:paraId="06DF488C" w14:textId="77777777" w:rsidR="00A7419E" w:rsidRPr="00A7419E" w:rsidRDefault="00A7419E" w:rsidP="00A7419E">
      <w:pPr>
        <w:numPr>
          <w:ilvl w:val="0"/>
          <w:numId w:val="1"/>
        </w:numPr>
        <w:spacing w:line="360" w:lineRule="auto"/>
        <w:jc w:val="both"/>
        <w:rPr>
          <w:rFonts w:ascii="Times New Roman" w:hAnsi="Times New Roman" w:cs="Times New Roman"/>
        </w:rPr>
      </w:pPr>
      <w:r w:rsidRPr="00A7419E">
        <w:rPr>
          <w:rFonts w:ascii="Times New Roman" w:hAnsi="Times New Roman" w:cs="Times New Roman"/>
        </w:rPr>
        <w:t xml:space="preserve">To </w:t>
      </w:r>
      <w:proofErr w:type="spellStart"/>
      <w:r w:rsidRPr="00A7419E">
        <w:rPr>
          <w:rFonts w:ascii="Times New Roman" w:hAnsi="Times New Roman" w:cs="Times New Roman"/>
        </w:rPr>
        <w:t>analyse</w:t>
      </w:r>
      <w:proofErr w:type="spellEnd"/>
      <w:r w:rsidRPr="00A7419E">
        <w:rPr>
          <w:rFonts w:ascii="Times New Roman" w:hAnsi="Times New Roman" w:cs="Times New Roman"/>
        </w:rPr>
        <w:t xml:space="preserve"> farmers’ attitudes towards the impact of the Green Deal through a questionnaire survey and focus groups;</w:t>
      </w:r>
    </w:p>
    <w:p w14:paraId="3EEEC819" w14:textId="77777777" w:rsidR="00A7419E" w:rsidRPr="00A7419E" w:rsidRDefault="00A7419E" w:rsidP="00A7419E">
      <w:pPr>
        <w:numPr>
          <w:ilvl w:val="0"/>
          <w:numId w:val="1"/>
        </w:numPr>
        <w:spacing w:line="360" w:lineRule="auto"/>
        <w:jc w:val="both"/>
        <w:rPr>
          <w:rFonts w:ascii="Times New Roman" w:hAnsi="Times New Roman" w:cs="Times New Roman"/>
        </w:rPr>
      </w:pPr>
      <w:r w:rsidRPr="00A7419E">
        <w:rPr>
          <w:rFonts w:ascii="Times New Roman" w:hAnsi="Times New Roman" w:cs="Times New Roman"/>
        </w:rPr>
        <w:t xml:space="preserve">To investigate the economic and environmental efficiency of production models in holdings of different scales and </w:t>
      </w:r>
      <w:proofErr w:type="spellStart"/>
      <w:r w:rsidRPr="00A7419E">
        <w:rPr>
          <w:rFonts w:ascii="Times New Roman" w:hAnsi="Times New Roman" w:cs="Times New Roman"/>
        </w:rPr>
        <w:t>specialisations</w:t>
      </w:r>
      <w:proofErr w:type="spellEnd"/>
      <w:r w:rsidRPr="00A7419E">
        <w:rPr>
          <w:rFonts w:ascii="Times New Roman" w:hAnsi="Times New Roman" w:cs="Times New Roman"/>
        </w:rPr>
        <w:t xml:space="preserve"> through case study analysis;</w:t>
      </w:r>
    </w:p>
    <w:p w14:paraId="697F4B7C" w14:textId="77777777" w:rsidR="00A7419E" w:rsidRPr="00A7419E" w:rsidRDefault="00A7419E" w:rsidP="00A7419E">
      <w:pPr>
        <w:numPr>
          <w:ilvl w:val="0"/>
          <w:numId w:val="1"/>
        </w:numPr>
        <w:spacing w:line="360" w:lineRule="auto"/>
        <w:jc w:val="both"/>
        <w:rPr>
          <w:rFonts w:ascii="Times New Roman" w:hAnsi="Times New Roman" w:cs="Times New Roman"/>
        </w:rPr>
      </w:pPr>
      <w:r w:rsidRPr="00A7419E">
        <w:rPr>
          <w:rFonts w:ascii="Times New Roman" w:hAnsi="Times New Roman" w:cs="Times New Roman"/>
        </w:rPr>
        <w:t>To develop and apply a model for measuring the comparative advantages of the tested sustainable practices in relation to the parameters of the Green Deal and to reveal their effects on structural consolidation;</w:t>
      </w:r>
    </w:p>
    <w:p w14:paraId="537FBD2C" w14:textId="34E44C4C" w:rsidR="00A7419E" w:rsidRPr="00A7419E" w:rsidRDefault="00A7419E" w:rsidP="00A7419E">
      <w:pPr>
        <w:numPr>
          <w:ilvl w:val="0"/>
          <w:numId w:val="1"/>
        </w:numPr>
        <w:spacing w:line="360" w:lineRule="auto"/>
        <w:jc w:val="both"/>
        <w:rPr>
          <w:rFonts w:ascii="Times New Roman" w:hAnsi="Times New Roman" w:cs="Times New Roman"/>
        </w:rPr>
      </w:pPr>
      <w:r w:rsidRPr="00A7419E">
        <w:rPr>
          <w:rFonts w:ascii="Times New Roman" w:hAnsi="Times New Roman" w:cs="Times New Roman"/>
        </w:rPr>
        <w:lastRenderedPageBreak/>
        <w:t>To formulate guidelines for increasing the economic and environmental efficiency of agricultural holdings, taking into account the heterogeneity of the sector in terms of size, speciali</w:t>
      </w:r>
      <w:r w:rsidR="00826E40">
        <w:rPr>
          <w:rFonts w:ascii="Times New Roman" w:hAnsi="Times New Roman" w:cs="Times New Roman"/>
        </w:rPr>
        <w:t>z</w:t>
      </w:r>
      <w:r w:rsidRPr="00A7419E">
        <w:rPr>
          <w:rFonts w:ascii="Times New Roman" w:hAnsi="Times New Roman" w:cs="Times New Roman"/>
        </w:rPr>
        <w:t>ation and production model.</w:t>
      </w:r>
    </w:p>
    <w:p w14:paraId="3DDE4303" w14:textId="77777777" w:rsidR="00A7419E" w:rsidRDefault="00A7419E" w:rsidP="00A7419E">
      <w:pPr>
        <w:spacing w:line="360" w:lineRule="auto"/>
        <w:jc w:val="both"/>
        <w:rPr>
          <w:rFonts w:ascii="Times New Roman" w:hAnsi="Times New Roman" w:cs="Times New Roman"/>
        </w:rPr>
      </w:pPr>
      <w:r w:rsidRPr="00A7419E">
        <w:rPr>
          <w:rFonts w:ascii="Times New Roman" w:hAnsi="Times New Roman" w:cs="Times New Roman"/>
          <w:b/>
          <w:bCs/>
        </w:rPr>
        <w:t>Thesis and Working Hypotheses</w:t>
      </w:r>
    </w:p>
    <w:p w14:paraId="33EE0CCD" w14:textId="1DC8DD4B" w:rsidR="00A7419E" w:rsidRPr="00A7419E" w:rsidRDefault="00A7419E" w:rsidP="00A7419E">
      <w:pPr>
        <w:spacing w:line="360" w:lineRule="auto"/>
        <w:ind w:firstLine="720"/>
        <w:jc w:val="both"/>
        <w:rPr>
          <w:rFonts w:ascii="Times New Roman" w:hAnsi="Times New Roman" w:cs="Times New Roman"/>
        </w:rPr>
      </w:pPr>
      <w:r w:rsidRPr="00A7419E">
        <w:rPr>
          <w:rFonts w:ascii="Times New Roman" w:hAnsi="Times New Roman" w:cs="Times New Roman"/>
        </w:rPr>
        <w:t>The dissertation defends the thesis that the Green Deal opens up opportunities for increasing the economic and environmental efficiency of Bulgarian agricultural holdings through the promotion of sustainable practices.</w:t>
      </w:r>
    </w:p>
    <w:p w14:paraId="4E6DE266" w14:textId="77777777" w:rsidR="00A7419E" w:rsidRPr="00A7419E" w:rsidRDefault="00A7419E" w:rsidP="00A7419E">
      <w:pPr>
        <w:spacing w:line="360" w:lineRule="auto"/>
        <w:jc w:val="both"/>
        <w:rPr>
          <w:rFonts w:ascii="Times New Roman" w:hAnsi="Times New Roman" w:cs="Times New Roman"/>
        </w:rPr>
      </w:pPr>
      <w:r w:rsidRPr="00A7419E">
        <w:rPr>
          <w:rFonts w:ascii="Times New Roman" w:hAnsi="Times New Roman" w:cs="Times New Roman"/>
          <w:b/>
          <w:bCs/>
        </w:rPr>
        <w:t>H1:</w:t>
      </w:r>
      <w:r w:rsidRPr="00A7419E">
        <w:rPr>
          <w:rFonts w:ascii="Times New Roman" w:hAnsi="Times New Roman" w:cs="Times New Roman"/>
        </w:rPr>
        <w:t xml:space="preserve"> The economic and environmental efficiency of agricultural holdings in Bulgaria differs significantly depending on their typology and economic size;</w:t>
      </w:r>
    </w:p>
    <w:p w14:paraId="6893394C" w14:textId="77777777" w:rsidR="00A7419E" w:rsidRPr="00A7419E" w:rsidRDefault="00A7419E" w:rsidP="00A7419E">
      <w:pPr>
        <w:spacing w:line="360" w:lineRule="auto"/>
        <w:jc w:val="both"/>
        <w:rPr>
          <w:rFonts w:ascii="Times New Roman" w:hAnsi="Times New Roman" w:cs="Times New Roman"/>
        </w:rPr>
      </w:pPr>
      <w:r w:rsidRPr="00A7419E">
        <w:rPr>
          <w:rFonts w:ascii="Times New Roman" w:hAnsi="Times New Roman" w:cs="Times New Roman"/>
          <w:b/>
          <w:bCs/>
        </w:rPr>
        <w:t>H2:</w:t>
      </w:r>
      <w:r w:rsidRPr="00A7419E">
        <w:rPr>
          <w:rFonts w:ascii="Times New Roman" w:hAnsi="Times New Roman" w:cs="Times New Roman"/>
        </w:rPr>
        <w:t xml:space="preserve"> The application of specific sustainable practices examined in the present study can significantly increase both the environmental and economic efficiency of holdings simultaneously;</w:t>
      </w:r>
    </w:p>
    <w:p w14:paraId="7309F511" w14:textId="77777777" w:rsidR="00A7419E" w:rsidRPr="00A7419E" w:rsidRDefault="00A7419E" w:rsidP="00A7419E">
      <w:pPr>
        <w:spacing w:line="360" w:lineRule="auto"/>
        <w:jc w:val="both"/>
        <w:rPr>
          <w:rFonts w:ascii="Times New Roman" w:hAnsi="Times New Roman" w:cs="Times New Roman"/>
        </w:rPr>
      </w:pPr>
      <w:r w:rsidRPr="00A7419E">
        <w:rPr>
          <w:rFonts w:ascii="Times New Roman" w:hAnsi="Times New Roman" w:cs="Times New Roman"/>
          <w:b/>
          <w:bCs/>
        </w:rPr>
        <w:t>H3:</w:t>
      </w:r>
      <w:r w:rsidRPr="00A7419E">
        <w:rPr>
          <w:rFonts w:ascii="Times New Roman" w:hAnsi="Times New Roman" w:cs="Times New Roman"/>
        </w:rPr>
        <w:t xml:space="preserve"> The Green Deal will lead to a reduction in the use of chemical </w:t>
      </w:r>
      <w:proofErr w:type="spellStart"/>
      <w:r w:rsidRPr="00A7419E">
        <w:rPr>
          <w:rFonts w:ascii="Times New Roman" w:hAnsi="Times New Roman" w:cs="Times New Roman"/>
        </w:rPr>
        <w:t>fertilisers</w:t>
      </w:r>
      <w:proofErr w:type="spellEnd"/>
      <w:r w:rsidRPr="00A7419E">
        <w:rPr>
          <w:rFonts w:ascii="Times New Roman" w:hAnsi="Times New Roman" w:cs="Times New Roman"/>
        </w:rPr>
        <w:t>, which will be reflected in a higher Relative Comparative Assessment (RCA) in future scenarios;</w:t>
      </w:r>
    </w:p>
    <w:p w14:paraId="600B92EC" w14:textId="77777777" w:rsidR="00A7419E" w:rsidRPr="00A7419E" w:rsidRDefault="00A7419E" w:rsidP="00A7419E">
      <w:pPr>
        <w:spacing w:line="360" w:lineRule="auto"/>
        <w:jc w:val="both"/>
        <w:rPr>
          <w:rFonts w:ascii="Times New Roman" w:hAnsi="Times New Roman" w:cs="Times New Roman"/>
        </w:rPr>
      </w:pPr>
      <w:r w:rsidRPr="00A7419E">
        <w:rPr>
          <w:rFonts w:ascii="Times New Roman" w:hAnsi="Times New Roman" w:cs="Times New Roman"/>
          <w:b/>
          <w:bCs/>
        </w:rPr>
        <w:t>H4:</w:t>
      </w:r>
      <w:r w:rsidRPr="00A7419E">
        <w:rPr>
          <w:rFonts w:ascii="Times New Roman" w:hAnsi="Times New Roman" w:cs="Times New Roman"/>
        </w:rPr>
        <w:t xml:space="preserve"> The application of the tested sustainable practices to the extent of achieving compliance with the parameters of the Green Deal would lead to greater economic and environmental efficiency, exceeding the expected greater reduction in the number of holdings.</w:t>
      </w:r>
    </w:p>
    <w:p w14:paraId="37104A6A" w14:textId="77777777" w:rsidR="00A7419E" w:rsidRPr="00A7419E" w:rsidRDefault="00A7419E" w:rsidP="00A7419E">
      <w:pPr>
        <w:spacing w:line="360" w:lineRule="auto"/>
        <w:jc w:val="both"/>
        <w:rPr>
          <w:rFonts w:ascii="Times New Roman" w:hAnsi="Times New Roman" w:cs="Times New Roman"/>
        </w:rPr>
      </w:pPr>
      <w:r w:rsidRPr="00A7419E">
        <w:rPr>
          <w:rFonts w:ascii="Times New Roman" w:hAnsi="Times New Roman" w:cs="Times New Roman"/>
          <w:b/>
          <w:bCs/>
        </w:rPr>
        <w:t>Limitations of the Research:</w:t>
      </w:r>
      <w:r w:rsidRPr="00A7419E">
        <w:rPr>
          <w:rFonts w:ascii="Times New Roman" w:hAnsi="Times New Roman" w:cs="Times New Roman"/>
        </w:rPr>
        <w:t xml:space="preserve"> Part of the results are based on primary data with a relatively short time period; environmental efficiency was assessed using FADN proxy indicators; and the econometric modelling works with a limited number of factors for future scenarios.</w:t>
      </w:r>
    </w:p>
    <w:p w14:paraId="0703A6D1" w14:textId="77777777" w:rsidR="00A7419E" w:rsidRPr="00A7419E" w:rsidRDefault="00A7419E" w:rsidP="00A7419E">
      <w:pPr>
        <w:spacing w:line="360" w:lineRule="auto"/>
        <w:jc w:val="both"/>
        <w:rPr>
          <w:rFonts w:ascii="Times New Roman" w:hAnsi="Times New Roman" w:cs="Times New Roman"/>
        </w:rPr>
      </w:pPr>
      <w:r w:rsidRPr="00A7419E">
        <w:rPr>
          <w:rFonts w:ascii="Times New Roman" w:hAnsi="Times New Roman" w:cs="Times New Roman"/>
          <w:b/>
          <w:bCs/>
        </w:rPr>
        <w:t>Structure of the Dissertation</w:t>
      </w:r>
    </w:p>
    <w:p w14:paraId="32235F64" w14:textId="77777777" w:rsidR="00A7419E" w:rsidRDefault="00A7419E" w:rsidP="00A7419E">
      <w:pPr>
        <w:spacing w:line="360" w:lineRule="auto"/>
        <w:ind w:firstLine="720"/>
        <w:jc w:val="both"/>
        <w:rPr>
          <w:rFonts w:ascii="Times New Roman" w:hAnsi="Times New Roman" w:cs="Times New Roman"/>
          <w:lang w:val="bg-BG"/>
        </w:rPr>
      </w:pPr>
      <w:r w:rsidRPr="00A7419E">
        <w:rPr>
          <w:rFonts w:ascii="Times New Roman" w:hAnsi="Times New Roman" w:cs="Times New Roman"/>
        </w:rPr>
        <w:t>The dissertation is structured into an introduction, four chapters, a conclusion, a list of references and appendices. Each chapter follows the logic of the research: from building the theoretical-conceptual framework (Chapter One), through defining the methodological design (Chapter Two) and empirical verification of the results and attitudes (Chapter Three), to forecast modelling and applied recommendations for adaptation to the Green Deal (Chapter Four). The total volume of the work is 411 pages, including 545 sources of information, 19 figures, 74 tables and 3 appendices.</w:t>
      </w:r>
    </w:p>
    <w:p w14:paraId="0AB21DFA" w14:textId="77777777" w:rsidR="00A7419E" w:rsidRPr="00507102" w:rsidRDefault="00A7419E" w:rsidP="00507102">
      <w:pPr>
        <w:pStyle w:val="Heading1"/>
        <w:rPr>
          <w:rFonts w:ascii="Times New Roman" w:hAnsi="Times New Roman" w:cs="Times New Roman"/>
          <w:b/>
          <w:bCs/>
          <w:color w:val="auto"/>
          <w:sz w:val="28"/>
          <w:szCs w:val="28"/>
        </w:rPr>
      </w:pPr>
      <w:bookmarkStart w:id="1" w:name="_Toc229127771"/>
      <w:r w:rsidRPr="00507102">
        <w:rPr>
          <w:rFonts w:ascii="Times New Roman" w:hAnsi="Times New Roman" w:cs="Times New Roman"/>
          <w:b/>
          <w:bCs/>
          <w:color w:val="auto"/>
          <w:sz w:val="28"/>
          <w:szCs w:val="28"/>
        </w:rPr>
        <w:lastRenderedPageBreak/>
        <w:t>II. SYNTHESISED EXPOSITION OF THE DISSERTATION</w:t>
      </w:r>
      <w:bookmarkEnd w:id="1"/>
    </w:p>
    <w:p w14:paraId="51E4C0A2" w14:textId="77777777" w:rsidR="00A7419E" w:rsidRPr="00507102" w:rsidRDefault="00A7419E" w:rsidP="00507102">
      <w:pPr>
        <w:pStyle w:val="Heading2"/>
        <w:rPr>
          <w:rFonts w:ascii="Times New Roman" w:hAnsi="Times New Roman" w:cs="Times New Roman"/>
          <w:b/>
          <w:bCs/>
          <w:color w:val="auto"/>
          <w:sz w:val="24"/>
          <w:szCs w:val="24"/>
        </w:rPr>
      </w:pPr>
      <w:bookmarkStart w:id="2" w:name="_Toc229127772"/>
      <w:r w:rsidRPr="00507102">
        <w:rPr>
          <w:rFonts w:ascii="Times New Roman" w:hAnsi="Times New Roman" w:cs="Times New Roman"/>
          <w:b/>
          <w:bCs/>
          <w:color w:val="auto"/>
          <w:sz w:val="24"/>
          <w:szCs w:val="24"/>
        </w:rPr>
        <w:t>CHAPTER ONE – THEORETICAL AND CONCEPTUAL FRAMEWORK OF THE ECONOMIC AND ENVIRONMENTAL EFFICIENCY OF AGRICULTURAL HOLDINGS IN THE CONTEXT OF THE GREEN DEAL</w:t>
      </w:r>
      <w:bookmarkEnd w:id="2"/>
    </w:p>
    <w:p w14:paraId="232B0AE0" w14:textId="5DF7C6E6" w:rsidR="00A7419E" w:rsidRPr="00A7419E" w:rsidRDefault="00A7419E" w:rsidP="00A7419E">
      <w:pPr>
        <w:spacing w:line="360" w:lineRule="auto"/>
        <w:ind w:firstLine="720"/>
        <w:jc w:val="both"/>
        <w:rPr>
          <w:rFonts w:ascii="Times New Roman" w:hAnsi="Times New Roman" w:cs="Times New Roman"/>
        </w:rPr>
      </w:pPr>
      <w:r w:rsidRPr="00A7419E">
        <w:rPr>
          <w:rFonts w:ascii="Times New Roman" w:hAnsi="Times New Roman" w:cs="Times New Roman"/>
        </w:rPr>
        <w:t xml:space="preserve">In the first chapter of the dissertation, the theoretical and conceptual framework of the study is constructed, dedicated to the economic and environmental efficiency of agricultural holdings under the conditions of the European Union’s Green Deal. The historical development of agriculture is examined as a process of profound economic transformation that changes the mode of production, distribution and </w:t>
      </w:r>
      <w:proofErr w:type="spellStart"/>
      <w:r w:rsidRPr="00A7419E">
        <w:rPr>
          <w:rFonts w:ascii="Times New Roman" w:hAnsi="Times New Roman" w:cs="Times New Roman"/>
        </w:rPr>
        <w:t>organisation</w:t>
      </w:r>
      <w:proofErr w:type="spellEnd"/>
      <w:r w:rsidRPr="00A7419E">
        <w:rPr>
          <w:rFonts w:ascii="Times New Roman" w:hAnsi="Times New Roman" w:cs="Times New Roman"/>
        </w:rPr>
        <w:t xml:space="preserve"> of resources in the agrarian sector. As the study </w:t>
      </w:r>
      <w:proofErr w:type="spellStart"/>
      <w:r w:rsidRPr="00A7419E">
        <w:rPr>
          <w:rFonts w:ascii="Times New Roman" w:hAnsi="Times New Roman" w:cs="Times New Roman"/>
        </w:rPr>
        <w:t>emphasises</w:t>
      </w:r>
      <w:proofErr w:type="spellEnd"/>
      <w:r w:rsidRPr="00A7419E">
        <w:rPr>
          <w:rFonts w:ascii="Times New Roman" w:hAnsi="Times New Roman" w:cs="Times New Roman"/>
        </w:rPr>
        <w:t>, from the emergence of primary forms of production to the formation of modern agrarian systems, agriculture has undergone significant changes driven by the interaction between technological progress, institutional evolution, demographic trends and economic incentives.</w:t>
      </w:r>
      <w:r>
        <w:rPr>
          <w:rFonts w:ascii="Times New Roman" w:hAnsi="Times New Roman" w:cs="Times New Roman"/>
        </w:rPr>
        <w:t xml:space="preserve"> </w:t>
      </w:r>
      <w:r w:rsidRPr="00A7419E">
        <w:rPr>
          <w:rFonts w:ascii="Times New Roman" w:hAnsi="Times New Roman" w:cs="Times New Roman"/>
        </w:rPr>
        <w:t xml:space="preserve">The classical economic school links the price of land to ground rent and lays the foundation for the analysis of the role of land in the production process. Adam Smith in The Wealth of Nations (1776) views agriculture as the main source of wealth, while David Ricardo formulates the theory of rent arising from unequal fertility and the scarcity of land. Karl Marx adopts many of the views of the classics but regards rent as “a product of society, not of the land”. Johann Heinrich von </w:t>
      </w:r>
      <w:proofErr w:type="spellStart"/>
      <w:r w:rsidRPr="00A7419E">
        <w:rPr>
          <w:rFonts w:ascii="Times New Roman" w:hAnsi="Times New Roman" w:cs="Times New Roman"/>
        </w:rPr>
        <w:t>Thünen</w:t>
      </w:r>
      <w:proofErr w:type="spellEnd"/>
      <w:r w:rsidRPr="00A7419E">
        <w:rPr>
          <w:rFonts w:ascii="Times New Roman" w:hAnsi="Times New Roman" w:cs="Times New Roman"/>
        </w:rPr>
        <w:t xml:space="preserve"> in The Isolated State (1826) develops a spatial model of agricultural production around the central city. In the twentieth century, neoclassical theory divides land into different categories and </w:t>
      </w:r>
      <w:proofErr w:type="spellStart"/>
      <w:r w:rsidRPr="00A7419E">
        <w:rPr>
          <w:rFonts w:ascii="Times New Roman" w:hAnsi="Times New Roman" w:cs="Times New Roman"/>
        </w:rPr>
        <w:t>emphasises</w:t>
      </w:r>
      <w:proofErr w:type="spellEnd"/>
      <w:r w:rsidRPr="00A7419E">
        <w:rPr>
          <w:rFonts w:ascii="Times New Roman" w:hAnsi="Times New Roman" w:cs="Times New Roman"/>
        </w:rPr>
        <w:t xml:space="preserve"> land and environmental resources. The concept of sustainability was finally established with the Brundtland Report (1987), which formulated the principle of meeting the needs of present generations without compromising the ability of future generations to meet their own needs. The United Nations Conference in Rio (1992) laid the foundations of the contemporary model of sustainable development, based on the interaction between the economic, social and environmental dimensions.</w:t>
      </w:r>
    </w:p>
    <w:p w14:paraId="79AA09BC" w14:textId="454D0B44" w:rsidR="00A7419E" w:rsidRDefault="00A7419E" w:rsidP="00A7419E">
      <w:pPr>
        <w:spacing w:line="360" w:lineRule="auto"/>
        <w:ind w:firstLine="720"/>
        <w:jc w:val="both"/>
        <w:rPr>
          <w:rFonts w:ascii="Times New Roman" w:hAnsi="Times New Roman" w:cs="Times New Roman"/>
        </w:rPr>
      </w:pPr>
      <w:r w:rsidRPr="00A7419E">
        <w:rPr>
          <w:rFonts w:ascii="Times New Roman" w:hAnsi="Times New Roman" w:cs="Times New Roman"/>
        </w:rPr>
        <w:t xml:space="preserve">In the context of the European Union, sustainability within the Common Agricultural Policy (CAP) has passed through several stages of development. The Green Deal, announced in 2019, represents a long-term framework for achieving climate neutrality by 2050. The strategies “From Farm to Fork” and “Biodiversity 2030” (European Commission, 2019a, 2019b) set specific quantitative targets for reducing the use of pesticides and </w:t>
      </w:r>
      <w:proofErr w:type="spellStart"/>
      <w:r w:rsidRPr="00A7419E">
        <w:rPr>
          <w:rFonts w:ascii="Times New Roman" w:hAnsi="Times New Roman" w:cs="Times New Roman"/>
        </w:rPr>
        <w:t>fertilisers</w:t>
      </w:r>
      <w:proofErr w:type="spellEnd"/>
      <w:r w:rsidRPr="00A7419E">
        <w:rPr>
          <w:rFonts w:ascii="Times New Roman" w:hAnsi="Times New Roman" w:cs="Times New Roman"/>
        </w:rPr>
        <w:t xml:space="preserve">, expanding organic farming </w:t>
      </w:r>
      <w:r w:rsidRPr="00A7419E">
        <w:rPr>
          <w:rFonts w:ascii="Times New Roman" w:hAnsi="Times New Roman" w:cs="Times New Roman"/>
        </w:rPr>
        <w:lastRenderedPageBreak/>
        <w:t xml:space="preserve">and protecting biodiversity. The normative documents underpinning the various directions of the Green Deal are </w:t>
      </w:r>
      <w:proofErr w:type="spellStart"/>
      <w:r w:rsidRPr="00A7419E">
        <w:rPr>
          <w:rFonts w:ascii="Times New Roman" w:hAnsi="Times New Roman" w:cs="Times New Roman"/>
        </w:rPr>
        <w:t>systematised</w:t>
      </w:r>
      <w:proofErr w:type="spellEnd"/>
      <w:r w:rsidRPr="00A7419E">
        <w:rPr>
          <w:rFonts w:ascii="Times New Roman" w:hAnsi="Times New Roman" w:cs="Times New Roman"/>
        </w:rPr>
        <w:t xml:space="preserve"> in the following table:</w:t>
      </w:r>
    </w:p>
    <w:p w14:paraId="5DE4428E" w14:textId="77777777" w:rsidR="00A7419E" w:rsidRPr="00A7419E" w:rsidRDefault="00A7419E" w:rsidP="00A7419E">
      <w:pPr>
        <w:spacing w:line="360" w:lineRule="auto"/>
        <w:ind w:firstLine="720"/>
        <w:jc w:val="center"/>
        <w:rPr>
          <w:rFonts w:ascii="Times New Roman" w:hAnsi="Times New Roman" w:cs="Times New Roman"/>
        </w:rPr>
      </w:pPr>
      <w:r w:rsidRPr="00A7419E">
        <w:rPr>
          <w:rFonts w:ascii="Times New Roman" w:hAnsi="Times New Roman" w:cs="Times New Roman"/>
        </w:rPr>
        <w:t>Table 1 Normative Documents Underpinning the Various Directions of the Green Deal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A7419E" w:rsidRPr="006C3185" w14:paraId="593F0E53" w14:textId="77777777" w:rsidTr="00FB21A0">
        <w:trPr>
          <w:jc w:val="center"/>
        </w:trPr>
        <w:tc>
          <w:tcPr>
            <w:tcW w:w="2337" w:type="dxa"/>
            <w:vAlign w:val="center"/>
          </w:tcPr>
          <w:p w14:paraId="34847A9D" w14:textId="1C91C1AD" w:rsidR="00A7419E" w:rsidRPr="00A7419E" w:rsidRDefault="00A7419E" w:rsidP="00A7419E">
            <w:pPr>
              <w:spacing w:line="360" w:lineRule="auto"/>
              <w:jc w:val="center"/>
              <w:rPr>
                <w:rFonts w:ascii="Times New Roman" w:hAnsi="Times New Roman" w:cs="Times New Roman"/>
                <w:b/>
                <w:lang w:val="bg-BG"/>
              </w:rPr>
            </w:pPr>
            <w:r w:rsidRPr="00A7419E">
              <w:rPr>
                <w:rFonts w:ascii="Times New Roman" w:hAnsi="Times New Roman" w:cs="Times New Roman"/>
                <w:b/>
                <w:bCs/>
              </w:rPr>
              <w:t>Agriculture</w:t>
            </w:r>
          </w:p>
        </w:tc>
        <w:tc>
          <w:tcPr>
            <w:tcW w:w="2337" w:type="dxa"/>
            <w:vAlign w:val="center"/>
          </w:tcPr>
          <w:p w14:paraId="5960BA5E" w14:textId="1EBFC8DD" w:rsidR="00A7419E" w:rsidRPr="00A7419E" w:rsidRDefault="00A7419E" w:rsidP="00A7419E">
            <w:pPr>
              <w:spacing w:line="360" w:lineRule="auto"/>
              <w:jc w:val="center"/>
              <w:rPr>
                <w:rFonts w:ascii="Times New Roman" w:hAnsi="Times New Roman" w:cs="Times New Roman"/>
                <w:b/>
                <w:lang w:val="bg-BG"/>
              </w:rPr>
            </w:pPr>
            <w:r w:rsidRPr="00A7419E">
              <w:rPr>
                <w:rFonts w:ascii="Times New Roman" w:hAnsi="Times New Roman" w:cs="Times New Roman"/>
                <w:b/>
                <w:bCs/>
              </w:rPr>
              <w:t>Climate Neutrality</w:t>
            </w:r>
          </w:p>
        </w:tc>
        <w:tc>
          <w:tcPr>
            <w:tcW w:w="2338" w:type="dxa"/>
            <w:vAlign w:val="center"/>
          </w:tcPr>
          <w:p w14:paraId="6EDA801D" w14:textId="3E8996E9" w:rsidR="00A7419E" w:rsidRPr="00A7419E" w:rsidRDefault="00A7419E" w:rsidP="00A7419E">
            <w:pPr>
              <w:spacing w:line="360" w:lineRule="auto"/>
              <w:jc w:val="center"/>
              <w:rPr>
                <w:rFonts w:ascii="Times New Roman" w:hAnsi="Times New Roman" w:cs="Times New Roman"/>
                <w:b/>
                <w:lang w:val="bg-BG"/>
              </w:rPr>
            </w:pPr>
            <w:r w:rsidRPr="00A7419E">
              <w:rPr>
                <w:rFonts w:ascii="Times New Roman" w:hAnsi="Times New Roman" w:cs="Times New Roman"/>
                <w:b/>
                <w:bCs/>
              </w:rPr>
              <w:t>Environment</w:t>
            </w:r>
          </w:p>
        </w:tc>
        <w:tc>
          <w:tcPr>
            <w:tcW w:w="2338" w:type="dxa"/>
            <w:vAlign w:val="center"/>
          </w:tcPr>
          <w:p w14:paraId="4F71BBD1" w14:textId="3F6F2D34" w:rsidR="00A7419E" w:rsidRPr="00A7419E" w:rsidRDefault="00A7419E" w:rsidP="00A7419E">
            <w:pPr>
              <w:spacing w:line="360" w:lineRule="auto"/>
              <w:jc w:val="center"/>
              <w:rPr>
                <w:rFonts w:ascii="Times New Roman" w:hAnsi="Times New Roman" w:cs="Times New Roman"/>
                <w:b/>
                <w:lang w:val="bg-BG"/>
              </w:rPr>
            </w:pPr>
            <w:r w:rsidRPr="00A7419E">
              <w:rPr>
                <w:rFonts w:ascii="Times New Roman" w:hAnsi="Times New Roman" w:cs="Times New Roman"/>
                <w:b/>
                <w:bCs/>
              </w:rPr>
              <w:t>Transport and Industry</w:t>
            </w:r>
          </w:p>
        </w:tc>
      </w:tr>
      <w:tr w:rsidR="00A7419E" w:rsidRPr="006C3185" w14:paraId="57584A10" w14:textId="77777777" w:rsidTr="00FB21A0">
        <w:trPr>
          <w:jc w:val="center"/>
        </w:trPr>
        <w:tc>
          <w:tcPr>
            <w:tcW w:w="2337" w:type="dxa"/>
            <w:vAlign w:val="center"/>
          </w:tcPr>
          <w:p w14:paraId="63157857" w14:textId="27260573"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Law on Sustainable Food Systems</w:t>
            </w:r>
          </w:p>
        </w:tc>
        <w:tc>
          <w:tcPr>
            <w:tcW w:w="2337" w:type="dxa"/>
            <w:vAlign w:val="center"/>
          </w:tcPr>
          <w:p w14:paraId="49B69AEA" w14:textId="78ABD348"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European Climate Law</w:t>
            </w:r>
          </w:p>
        </w:tc>
        <w:tc>
          <w:tcPr>
            <w:tcW w:w="2338" w:type="dxa"/>
            <w:vAlign w:val="center"/>
          </w:tcPr>
          <w:p w14:paraId="7D61DFC4" w14:textId="72D56E6F"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Biodiversity Strategy</w:t>
            </w:r>
          </w:p>
        </w:tc>
        <w:tc>
          <w:tcPr>
            <w:tcW w:w="2338" w:type="dxa"/>
            <w:vAlign w:val="center"/>
          </w:tcPr>
          <w:p w14:paraId="2ED25D76" w14:textId="00FA8D24"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New Industrial Strategy for Europe</w:t>
            </w:r>
          </w:p>
        </w:tc>
      </w:tr>
      <w:tr w:rsidR="00A7419E" w:rsidRPr="006C3185" w14:paraId="29AE4702" w14:textId="77777777" w:rsidTr="00FB21A0">
        <w:trPr>
          <w:jc w:val="center"/>
        </w:trPr>
        <w:tc>
          <w:tcPr>
            <w:tcW w:w="2337" w:type="dxa"/>
            <w:vAlign w:val="center"/>
          </w:tcPr>
          <w:p w14:paraId="711E2B9D" w14:textId="27055873"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Regulation on the Sustainable Use of Pesticides</w:t>
            </w:r>
          </w:p>
        </w:tc>
        <w:tc>
          <w:tcPr>
            <w:tcW w:w="2337" w:type="dxa"/>
            <w:vAlign w:val="center"/>
          </w:tcPr>
          <w:p w14:paraId="2D7C2424" w14:textId="131EFA5D"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Emissions Trading System and Carbon Border Adjustment Mechanism</w:t>
            </w:r>
          </w:p>
        </w:tc>
        <w:tc>
          <w:tcPr>
            <w:tcW w:w="2338" w:type="dxa"/>
            <w:vAlign w:val="center"/>
          </w:tcPr>
          <w:p w14:paraId="0E834788" w14:textId="267784CF"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EU Forest Strategy</w:t>
            </w:r>
          </w:p>
        </w:tc>
        <w:tc>
          <w:tcPr>
            <w:tcW w:w="2338" w:type="dxa"/>
            <w:vAlign w:val="center"/>
          </w:tcPr>
          <w:p w14:paraId="5D5BE6B3" w14:textId="522ED22D"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Circular Economy Action Plan</w:t>
            </w:r>
          </w:p>
        </w:tc>
      </w:tr>
      <w:tr w:rsidR="00A7419E" w:rsidRPr="006C3185" w14:paraId="187DD360" w14:textId="77777777" w:rsidTr="00FB21A0">
        <w:trPr>
          <w:jc w:val="center"/>
        </w:trPr>
        <w:tc>
          <w:tcPr>
            <w:tcW w:w="2337" w:type="dxa"/>
            <w:vAlign w:val="center"/>
          </w:tcPr>
          <w:p w14:paraId="1DE6D35F" w14:textId="6941E9CA"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Integrated Nutrient Management Plan</w:t>
            </w:r>
          </w:p>
        </w:tc>
        <w:tc>
          <w:tcPr>
            <w:tcW w:w="2337" w:type="dxa"/>
            <w:vAlign w:val="center"/>
          </w:tcPr>
          <w:p w14:paraId="3B47AD77" w14:textId="20B2E006"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Effort Sharing Regulation</w:t>
            </w:r>
          </w:p>
        </w:tc>
        <w:tc>
          <w:tcPr>
            <w:tcW w:w="2338" w:type="dxa"/>
            <w:vAlign w:val="center"/>
          </w:tcPr>
          <w:p w14:paraId="47D692C9" w14:textId="09490067"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Nature Restoration Law</w:t>
            </w:r>
          </w:p>
        </w:tc>
        <w:tc>
          <w:tcPr>
            <w:tcW w:w="2338" w:type="dxa"/>
            <w:vAlign w:val="center"/>
          </w:tcPr>
          <w:p w14:paraId="0DC9F9B8" w14:textId="50A12810"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Strategy for Sustainable and Smart Mobility</w:t>
            </w:r>
          </w:p>
        </w:tc>
      </w:tr>
      <w:tr w:rsidR="00A7419E" w:rsidRPr="006C3185" w14:paraId="4B487CE3" w14:textId="77777777" w:rsidTr="00FB21A0">
        <w:trPr>
          <w:jc w:val="center"/>
        </w:trPr>
        <w:tc>
          <w:tcPr>
            <w:tcW w:w="2337" w:type="dxa"/>
            <w:vAlign w:val="center"/>
          </w:tcPr>
          <w:p w14:paraId="2E22C0F3" w14:textId="518AD3F0"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Revision of Animal Welfare Rules</w:t>
            </w:r>
          </w:p>
        </w:tc>
        <w:tc>
          <w:tcPr>
            <w:tcW w:w="2337" w:type="dxa"/>
            <w:vAlign w:val="center"/>
          </w:tcPr>
          <w:p w14:paraId="0650F12A" w14:textId="55F18E21"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Land Use, Land-Use Change and Forestry Regulation</w:t>
            </w:r>
          </w:p>
        </w:tc>
        <w:tc>
          <w:tcPr>
            <w:tcW w:w="2338" w:type="dxa"/>
            <w:vAlign w:val="center"/>
          </w:tcPr>
          <w:p w14:paraId="6A40854A" w14:textId="2EE67011"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EU Soil Strategy for 2030 &amp; Soil Health Law</w:t>
            </w:r>
          </w:p>
        </w:tc>
        <w:tc>
          <w:tcPr>
            <w:tcW w:w="2338" w:type="dxa"/>
            <w:vAlign w:val="center"/>
          </w:tcPr>
          <w:p w14:paraId="48464817" w14:textId="5965FB1D"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w:t>
            </w:r>
          </w:p>
        </w:tc>
      </w:tr>
      <w:tr w:rsidR="00A7419E" w:rsidRPr="006C3185" w14:paraId="3F169071" w14:textId="77777777" w:rsidTr="00FB21A0">
        <w:trPr>
          <w:jc w:val="center"/>
        </w:trPr>
        <w:tc>
          <w:tcPr>
            <w:tcW w:w="2337" w:type="dxa"/>
            <w:vAlign w:val="center"/>
          </w:tcPr>
          <w:p w14:paraId="36EBE4D6" w14:textId="385F778E"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Action Plan for Organic Farming</w:t>
            </w:r>
          </w:p>
        </w:tc>
        <w:tc>
          <w:tcPr>
            <w:tcW w:w="2337" w:type="dxa"/>
            <w:vAlign w:val="center"/>
          </w:tcPr>
          <w:p w14:paraId="12B6AD74" w14:textId="417A4B44"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Communication from the Commission on Sustainable Carbon Cycles</w:t>
            </w:r>
          </w:p>
        </w:tc>
        <w:tc>
          <w:tcPr>
            <w:tcW w:w="2338" w:type="dxa"/>
            <w:vAlign w:val="center"/>
          </w:tcPr>
          <w:p w14:paraId="0528E81A" w14:textId="0BA650E3"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Deforestation Law and Industrial Emissions Directive</w:t>
            </w:r>
          </w:p>
        </w:tc>
        <w:tc>
          <w:tcPr>
            <w:tcW w:w="2338" w:type="dxa"/>
            <w:vAlign w:val="center"/>
          </w:tcPr>
          <w:p w14:paraId="0D5CE053" w14:textId="0679DE7F"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w:t>
            </w:r>
          </w:p>
        </w:tc>
      </w:tr>
      <w:tr w:rsidR="00A7419E" w:rsidRPr="006C3185" w14:paraId="029AC986" w14:textId="77777777" w:rsidTr="00FB21A0">
        <w:trPr>
          <w:jc w:val="center"/>
        </w:trPr>
        <w:tc>
          <w:tcPr>
            <w:tcW w:w="2337" w:type="dxa"/>
            <w:vAlign w:val="center"/>
          </w:tcPr>
          <w:p w14:paraId="5FB0130B" w14:textId="0C59734D"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Code of Conduct for Responsible Business and Marketing Practices</w:t>
            </w:r>
          </w:p>
        </w:tc>
        <w:tc>
          <w:tcPr>
            <w:tcW w:w="2337" w:type="dxa"/>
            <w:vAlign w:val="center"/>
          </w:tcPr>
          <w:p w14:paraId="00D77E97" w14:textId="5EA8F72F"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Revision of the Energy Taxation Directive</w:t>
            </w:r>
          </w:p>
        </w:tc>
        <w:tc>
          <w:tcPr>
            <w:tcW w:w="2338" w:type="dxa"/>
            <w:vAlign w:val="center"/>
          </w:tcPr>
          <w:p w14:paraId="6620286A" w14:textId="131FB858"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EU Action Plan: Towards Zero Pollution for Air, Water and Soil</w:t>
            </w:r>
          </w:p>
        </w:tc>
        <w:tc>
          <w:tcPr>
            <w:tcW w:w="2338" w:type="dxa"/>
            <w:vAlign w:val="center"/>
          </w:tcPr>
          <w:p w14:paraId="7ABB683C" w14:textId="42EFBB85"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w:t>
            </w:r>
          </w:p>
        </w:tc>
      </w:tr>
      <w:tr w:rsidR="00A7419E" w:rsidRPr="006C3185" w14:paraId="67510CB6" w14:textId="77777777" w:rsidTr="00FB21A0">
        <w:trPr>
          <w:jc w:val="center"/>
        </w:trPr>
        <w:tc>
          <w:tcPr>
            <w:tcW w:w="2337" w:type="dxa"/>
            <w:vAlign w:val="center"/>
          </w:tcPr>
          <w:p w14:paraId="0731D9BF" w14:textId="01F9B5F6"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lastRenderedPageBreak/>
              <w:t>Packaging, Labelling, Marketing Standards and Geographical Indications</w:t>
            </w:r>
          </w:p>
        </w:tc>
        <w:tc>
          <w:tcPr>
            <w:tcW w:w="2337" w:type="dxa"/>
            <w:vAlign w:val="center"/>
          </w:tcPr>
          <w:p w14:paraId="7772BDE7" w14:textId="63C64D45"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Social Climate Fund and Investment Plan for the European Green Deal</w:t>
            </w:r>
          </w:p>
        </w:tc>
        <w:tc>
          <w:tcPr>
            <w:tcW w:w="2338" w:type="dxa"/>
            <w:vAlign w:val="center"/>
          </w:tcPr>
          <w:p w14:paraId="07EC3BC6" w14:textId="498F4508"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EU Chemicals Strategy for Sustainability</w:t>
            </w:r>
          </w:p>
        </w:tc>
        <w:tc>
          <w:tcPr>
            <w:tcW w:w="2338" w:type="dxa"/>
            <w:vAlign w:val="center"/>
          </w:tcPr>
          <w:p w14:paraId="0CBDC591" w14:textId="18582325" w:rsidR="00A7419E" w:rsidRPr="00A7419E" w:rsidRDefault="00A7419E" w:rsidP="00A7419E">
            <w:pPr>
              <w:spacing w:line="360" w:lineRule="auto"/>
              <w:jc w:val="center"/>
              <w:rPr>
                <w:rFonts w:ascii="Times New Roman" w:hAnsi="Times New Roman" w:cs="Times New Roman"/>
                <w:lang w:val="bg-BG"/>
              </w:rPr>
            </w:pPr>
            <w:r w:rsidRPr="00A7419E">
              <w:rPr>
                <w:rFonts w:ascii="Times New Roman" w:hAnsi="Times New Roman" w:cs="Times New Roman"/>
              </w:rPr>
              <w:t>—</w:t>
            </w:r>
          </w:p>
        </w:tc>
      </w:tr>
    </w:tbl>
    <w:p w14:paraId="0B1555DB" w14:textId="1FED67A4" w:rsidR="00A7419E" w:rsidRPr="00A7419E" w:rsidRDefault="00A7419E" w:rsidP="00A7419E">
      <w:pPr>
        <w:spacing w:line="360" w:lineRule="auto"/>
        <w:ind w:firstLine="720"/>
        <w:jc w:val="center"/>
        <w:rPr>
          <w:rFonts w:ascii="Times New Roman" w:hAnsi="Times New Roman"/>
        </w:rPr>
      </w:pPr>
      <w:r w:rsidRPr="00A7419E">
        <w:rPr>
          <w:rFonts w:ascii="Times New Roman" w:hAnsi="Times New Roman"/>
        </w:rPr>
        <w:t>Source: Adapted from Ba</w:t>
      </w:r>
      <w:r>
        <w:rPr>
          <w:rFonts w:ascii="Times New Roman" w:hAnsi="Times New Roman"/>
        </w:rPr>
        <w:t>c</w:t>
      </w:r>
      <w:r w:rsidRPr="00A7419E">
        <w:rPr>
          <w:rFonts w:ascii="Times New Roman" w:hAnsi="Times New Roman"/>
        </w:rPr>
        <w:t xml:space="preserve">hev H., </w:t>
      </w:r>
      <w:proofErr w:type="spellStart"/>
      <w:r w:rsidRPr="00A7419E">
        <w:rPr>
          <w:rFonts w:ascii="Times New Roman" w:hAnsi="Times New Roman"/>
        </w:rPr>
        <w:t>Mihaylova</w:t>
      </w:r>
      <w:proofErr w:type="spellEnd"/>
      <w:r w:rsidRPr="00A7419E">
        <w:rPr>
          <w:rFonts w:ascii="Times New Roman" w:hAnsi="Times New Roman"/>
        </w:rPr>
        <w:t xml:space="preserve"> M., </w:t>
      </w:r>
      <w:proofErr w:type="spellStart"/>
      <w:r w:rsidRPr="00A7419E">
        <w:rPr>
          <w:rFonts w:ascii="Times New Roman" w:hAnsi="Times New Roman"/>
        </w:rPr>
        <w:t>Terziev</w:t>
      </w:r>
      <w:proofErr w:type="spellEnd"/>
      <w:r w:rsidRPr="00A7419E">
        <w:rPr>
          <w:rFonts w:ascii="Times New Roman" w:hAnsi="Times New Roman"/>
        </w:rPr>
        <w:t xml:space="preserve"> D., Georgiev M., Dimova N., Marinov P., </w:t>
      </w:r>
      <w:proofErr w:type="spellStart"/>
      <w:r w:rsidRPr="00A7419E">
        <w:rPr>
          <w:rFonts w:ascii="Times New Roman" w:hAnsi="Times New Roman"/>
        </w:rPr>
        <w:t>Mikova</w:t>
      </w:r>
      <w:proofErr w:type="spellEnd"/>
      <w:r w:rsidRPr="00A7419E">
        <w:rPr>
          <w:rFonts w:ascii="Times New Roman" w:hAnsi="Times New Roman"/>
        </w:rPr>
        <w:t xml:space="preserve"> R., </w:t>
      </w:r>
      <w:proofErr w:type="spellStart"/>
      <w:r w:rsidRPr="00A7419E">
        <w:rPr>
          <w:rFonts w:ascii="Times New Roman" w:hAnsi="Times New Roman"/>
        </w:rPr>
        <w:t>Blagoeva</w:t>
      </w:r>
      <w:proofErr w:type="spellEnd"/>
      <w:r w:rsidRPr="00A7419E">
        <w:rPr>
          <w:rFonts w:ascii="Times New Roman" w:hAnsi="Times New Roman"/>
        </w:rPr>
        <w:t xml:space="preserve"> S. Structure and Management of Contractual Relations in Bulgarian Agriculture. Economics and Management of Agriculture. 2024;59(3):3-28.</w:t>
      </w:r>
    </w:p>
    <w:p w14:paraId="72975A01" w14:textId="77777777" w:rsidR="00A7419E" w:rsidRDefault="00A7419E" w:rsidP="00A7419E">
      <w:pPr>
        <w:spacing w:line="360" w:lineRule="auto"/>
        <w:ind w:firstLine="720"/>
        <w:jc w:val="center"/>
        <w:rPr>
          <w:rFonts w:ascii="Times New Roman" w:hAnsi="Times New Roman" w:cs="Times New Roman"/>
          <w:lang w:val="bg-BG"/>
        </w:rPr>
      </w:pPr>
    </w:p>
    <w:p w14:paraId="7EB529DD" w14:textId="77777777" w:rsidR="00A71CA9" w:rsidRDefault="00A71CA9" w:rsidP="00A71CA9">
      <w:pPr>
        <w:spacing w:line="360" w:lineRule="auto"/>
        <w:ind w:firstLine="720"/>
        <w:jc w:val="both"/>
        <w:rPr>
          <w:rFonts w:ascii="Times New Roman" w:hAnsi="Times New Roman" w:cs="Times New Roman"/>
        </w:rPr>
      </w:pPr>
      <w:r w:rsidRPr="00A71CA9">
        <w:rPr>
          <w:rFonts w:ascii="Times New Roman" w:hAnsi="Times New Roman" w:cs="Times New Roman"/>
        </w:rPr>
        <w:t xml:space="preserve">The adaptation of agricultural holdings to the requirements of the Green Deal is regarded as a complex process that requires a transition from conventional to sustainable production models. In response to this idea, production and technological practices for achieving sustainability have been </w:t>
      </w:r>
      <w:proofErr w:type="spellStart"/>
      <w:r w:rsidRPr="00A71CA9">
        <w:rPr>
          <w:rFonts w:ascii="Times New Roman" w:hAnsi="Times New Roman" w:cs="Times New Roman"/>
        </w:rPr>
        <w:t>systematised</w:t>
      </w:r>
      <w:proofErr w:type="spellEnd"/>
      <w:r w:rsidRPr="00A71CA9">
        <w:rPr>
          <w:rFonts w:ascii="Times New Roman" w:hAnsi="Times New Roman" w:cs="Times New Roman"/>
        </w:rPr>
        <w:t xml:space="preserve"> along three main directions: management of soil resources, protection of biodiversity, and management of water resources. To these are added precision agriculture, integrated pest management, and the use of inhibited nitrogen </w:t>
      </w:r>
      <w:proofErr w:type="spellStart"/>
      <w:r w:rsidRPr="00A71CA9">
        <w:rPr>
          <w:rFonts w:ascii="Times New Roman" w:hAnsi="Times New Roman" w:cs="Times New Roman"/>
        </w:rPr>
        <w:t>fertilisers</w:t>
      </w:r>
      <w:proofErr w:type="spellEnd"/>
      <w:r w:rsidRPr="00A71CA9">
        <w:rPr>
          <w:rFonts w:ascii="Times New Roman" w:hAnsi="Times New Roman" w:cs="Times New Roman"/>
        </w:rPr>
        <w:t>. The comparative assessment of sustainable production and technological practices is presented in the following table:</w:t>
      </w:r>
    </w:p>
    <w:p w14:paraId="2B123C33" w14:textId="75520627" w:rsidR="00A71CA9" w:rsidRPr="00A71CA9" w:rsidRDefault="00A71CA9" w:rsidP="00A71CA9">
      <w:pPr>
        <w:spacing w:line="360" w:lineRule="auto"/>
        <w:ind w:firstLine="720"/>
        <w:jc w:val="center"/>
        <w:rPr>
          <w:rFonts w:ascii="Times New Roman" w:hAnsi="Times New Roman" w:cs="Times New Roman"/>
        </w:rPr>
      </w:pPr>
      <w:r w:rsidRPr="00A71CA9">
        <w:rPr>
          <w:rFonts w:ascii="Times New Roman" w:hAnsi="Times New Roman" w:cs="Times New Roman"/>
        </w:rPr>
        <w:t>Table 3 Comparative Assessment of Sustainable Production and Technological Practices</w:t>
      </w:r>
    </w:p>
    <w:tbl>
      <w:tblPr>
        <w:tblW w:w="8046" w:type="dxa"/>
        <w:jc w:val="center"/>
        <w:tblLook w:val="04A0" w:firstRow="1" w:lastRow="0" w:firstColumn="1" w:lastColumn="0" w:noHBand="0" w:noVBand="1"/>
      </w:tblPr>
      <w:tblGrid>
        <w:gridCol w:w="1469"/>
        <w:gridCol w:w="1603"/>
        <w:gridCol w:w="1736"/>
        <w:gridCol w:w="1569"/>
        <w:gridCol w:w="1669"/>
      </w:tblGrid>
      <w:tr w:rsidR="00A71CA9" w:rsidRPr="00A71CA9" w14:paraId="587B43D1" w14:textId="77777777" w:rsidTr="00A71CA9">
        <w:trPr>
          <w:trHeight w:val="1812"/>
          <w:jc w:val="center"/>
        </w:trPr>
        <w:tc>
          <w:tcPr>
            <w:tcW w:w="1469" w:type="dxa"/>
            <w:tcBorders>
              <w:top w:val="single" w:sz="4" w:space="0" w:color="auto"/>
              <w:left w:val="single" w:sz="4" w:space="0" w:color="auto"/>
              <w:bottom w:val="single" w:sz="4" w:space="0" w:color="auto"/>
              <w:right w:val="single" w:sz="4" w:space="0" w:color="auto"/>
            </w:tcBorders>
            <w:vAlign w:val="center"/>
            <w:hideMark/>
          </w:tcPr>
          <w:p w14:paraId="76DC45E4"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Sustainable Practice</w:t>
            </w:r>
          </w:p>
        </w:tc>
        <w:tc>
          <w:tcPr>
            <w:tcW w:w="1603" w:type="dxa"/>
            <w:tcBorders>
              <w:top w:val="single" w:sz="4" w:space="0" w:color="auto"/>
              <w:left w:val="nil"/>
              <w:bottom w:val="single" w:sz="4" w:space="0" w:color="auto"/>
              <w:right w:val="single" w:sz="4" w:space="0" w:color="auto"/>
            </w:tcBorders>
            <w:vAlign w:val="center"/>
            <w:hideMark/>
          </w:tcPr>
          <w:p w14:paraId="7B724578"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Economic Effect</w:t>
            </w:r>
          </w:p>
        </w:tc>
        <w:tc>
          <w:tcPr>
            <w:tcW w:w="1736" w:type="dxa"/>
            <w:tcBorders>
              <w:top w:val="single" w:sz="4" w:space="0" w:color="auto"/>
              <w:left w:val="nil"/>
              <w:bottom w:val="single" w:sz="4" w:space="0" w:color="auto"/>
              <w:right w:val="single" w:sz="4" w:space="0" w:color="auto"/>
            </w:tcBorders>
            <w:vAlign w:val="center"/>
            <w:hideMark/>
          </w:tcPr>
          <w:p w14:paraId="69E0005B"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Environmental Effect</w:t>
            </w:r>
          </w:p>
        </w:tc>
        <w:tc>
          <w:tcPr>
            <w:tcW w:w="1569" w:type="dxa"/>
            <w:tcBorders>
              <w:top w:val="single" w:sz="4" w:space="0" w:color="auto"/>
              <w:left w:val="nil"/>
              <w:bottom w:val="single" w:sz="4" w:space="0" w:color="auto"/>
              <w:right w:val="single" w:sz="4" w:space="0" w:color="auto"/>
            </w:tcBorders>
            <w:vAlign w:val="center"/>
            <w:hideMark/>
          </w:tcPr>
          <w:p w14:paraId="517A9553"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Investment Cost</w:t>
            </w:r>
          </w:p>
        </w:tc>
        <w:tc>
          <w:tcPr>
            <w:tcW w:w="1669" w:type="dxa"/>
            <w:tcBorders>
              <w:top w:val="single" w:sz="4" w:space="0" w:color="auto"/>
              <w:left w:val="nil"/>
              <w:bottom w:val="single" w:sz="4" w:space="0" w:color="auto"/>
              <w:right w:val="single" w:sz="4" w:space="0" w:color="auto"/>
            </w:tcBorders>
            <w:vAlign w:val="center"/>
            <w:hideMark/>
          </w:tcPr>
          <w:p w14:paraId="66BF6B10"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Applicability by Farm Type</w:t>
            </w:r>
          </w:p>
        </w:tc>
      </w:tr>
      <w:tr w:rsidR="00A71CA9" w:rsidRPr="00A71CA9" w14:paraId="51B8032A" w14:textId="77777777" w:rsidTr="00A71CA9">
        <w:trPr>
          <w:trHeight w:val="8160"/>
          <w:jc w:val="center"/>
        </w:trPr>
        <w:tc>
          <w:tcPr>
            <w:tcW w:w="1469" w:type="dxa"/>
            <w:tcBorders>
              <w:top w:val="nil"/>
              <w:left w:val="single" w:sz="4" w:space="0" w:color="auto"/>
              <w:bottom w:val="single" w:sz="4" w:space="0" w:color="auto"/>
              <w:right w:val="single" w:sz="4" w:space="0" w:color="auto"/>
            </w:tcBorders>
            <w:vAlign w:val="center"/>
            <w:hideMark/>
          </w:tcPr>
          <w:p w14:paraId="0BE57E33"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lastRenderedPageBreak/>
              <w:t>No-till and Minimum Tillage</w:t>
            </w:r>
          </w:p>
        </w:tc>
        <w:tc>
          <w:tcPr>
            <w:tcW w:w="1603" w:type="dxa"/>
            <w:tcBorders>
              <w:top w:val="nil"/>
              <w:left w:val="nil"/>
              <w:bottom w:val="single" w:sz="4" w:space="0" w:color="auto"/>
              <w:right w:val="single" w:sz="4" w:space="0" w:color="auto"/>
            </w:tcBorders>
            <w:vAlign w:val="center"/>
            <w:hideMark/>
          </w:tcPr>
          <w:p w14:paraId="7E2712C3"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Reduction in fuel, </w:t>
            </w:r>
            <w:proofErr w:type="spellStart"/>
            <w:r w:rsidRPr="00A71CA9">
              <w:rPr>
                <w:rFonts w:ascii="Times New Roman" w:eastAsia="Times New Roman" w:hAnsi="Times New Roman" w:cs="Times New Roman"/>
                <w:color w:val="000000"/>
                <w:kern w:val="0"/>
                <w14:ligatures w14:val="none"/>
              </w:rPr>
              <w:t>labour</w:t>
            </w:r>
            <w:proofErr w:type="spellEnd"/>
            <w:r w:rsidRPr="00A71CA9">
              <w:rPr>
                <w:rFonts w:ascii="Times New Roman" w:eastAsia="Times New Roman" w:hAnsi="Times New Roman" w:cs="Times New Roman"/>
                <w:color w:val="000000"/>
                <w:kern w:val="0"/>
                <w14:ligatures w14:val="none"/>
              </w:rPr>
              <w:t xml:space="preserve"> and machinery depreciation costs; </w:t>
            </w:r>
            <w:proofErr w:type="spellStart"/>
            <w:r w:rsidRPr="00A71CA9">
              <w:rPr>
                <w:rFonts w:ascii="Times New Roman" w:eastAsia="Times New Roman" w:hAnsi="Times New Roman" w:cs="Times New Roman"/>
                <w:color w:val="000000"/>
                <w:kern w:val="0"/>
                <w14:ligatures w14:val="none"/>
              </w:rPr>
              <w:t>stabilisation</w:t>
            </w:r>
            <w:proofErr w:type="spellEnd"/>
            <w:r w:rsidRPr="00A71CA9">
              <w:rPr>
                <w:rFonts w:ascii="Times New Roman" w:eastAsia="Times New Roman" w:hAnsi="Times New Roman" w:cs="Times New Roman"/>
                <w:color w:val="000000"/>
                <w:kern w:val="0"/>
                <w14:ligatures w14:val="none"/>
              </w:rPr>
              <w:t xml:space="preserve"> of yields under climatic stress â€” effects are more pronounced in field crop and </w:t>
            </w:r>
            <w:proofErr w:type="spellStart"/>
            <w:r w:rsidRPr="00A71CA9">
              <w:rPr>
                <w:rFonts w:ascii="Times New Roman" w:eastAsia="Times New Roman" w:hAnsi="Times New Roman" w:cs="Times New Roman"/>
                <w:color w:val="000000"/>
                <w:kern w:val="0"/>
                <w14:ligatures w14:val="none"/>
              </w:rPr>
              <w:t>specialised</w:t>
            </w:r>
            <w:proofErr w:type="spellEnd"/>
            <w:r w:rsidRPr="00A71CA9">
              <w:rPr>
                <w:rFonts w:ascii="Times New Roman" w:eastAsia="Times New Roman" w:hAnsi="Times New Roman" w:cs="Times New Roman"/>
                <w:color w:val="000000"/>
                <w:kern w:val="0"/>
                <w14:ligatures w14:val="none"/>
              </w:rPr>
              <w:t xml:space="preserve"> holdings (Garland et al., 2011; </w:t>
            </w:r>
            <w:proofErr w:type="spellStart"/>
            <w:r w:rsidRPr="00A71CA9">
              <w:rPr>
                <w:rFonts w:ascii="Times New Roman" w:eastAsia="Times New Roman" w:hAnsi="Times New Roman" w:cs="Times New Roman"/>
                <w:color w:val="000000"/>
                <w:kern w:val="0"/>
                <w14:ligatures w14:val="none"/>
              </w:rPr>
              <w:t>Bojarszczuk</w:t>
            </w:r>
            <w:proofErr w:type="spellEnd"/>
            <w:r w:rsidRPr="00A71CA9">
              <w:rPr>
                <w:rFonts w:ascii="Times New Roman" w:eastAsia="Times New Roman" w:hAnsi="Times New Roman" w:cs="Times New Roman"/>
                <w:color w:val="000000"/>
                <w:kern w:val="0"/>
                <w14:ligatures w14:val="none"/>
              </w:rPr>
              <w:t xml:space="preserve"> and KsiÄ™Å¼ak, 2023; Babu et al., 2023)</w:t>
            </w:r>
          </w:p>
        </w:tc>
        <w:tc>
          <w:tcPr>
            <w:tcW w:w="1736" w:type="dxa"/>
            <w:tcBorders>
              <w:top w:val="nil"/>
              <w:left w:val="nil"/>
              <w:bottom w:val="single" w:sz="4" w:space="0" w:color="auto"/>
              <w:right w:val="single" w:sz="4" w:space="0" w:color="auto"/>
            </w:tcBorders>
            <w:vAlign w:val="center"/>
            <w:hideMark/>
          </w:tcPr>
          <w:p w14:paraId="3C07B16F"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Reduction of erosional losses; improved infiltration; maintenance of soil organic carbon (Blanco-Canqui and Ruis, 2020; Triplett Jr. and Dick, 2008)</w:t>
            </w:r>
          </w:p>
        </w:tc>
        <w:tc>
          <w:tcPr>
            <w:tcW w:w="1569" w:type="dxa"/>
            <w:tcBorders>
              <w:top w:val="nil"/>
              <w:left w:val="nil"/>
              <w:bottom w:val="single" w:sz="4" w:space="0" w:color="auto"/>
              <w:right w:val="single" w:sz="4" w:space="0" w:color="auto"/>
            </w:tcBorders>
            <w:vAlign w:val="center"/>
            <w:hideMark/>
          </w:tcPr>
          <w:p w14:paraId="0E2ECD10"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Transition costs include </w:t>
            </w:r>
            <w:proofErr w:type="spellStart"/>
            <w:r w:rsidRPr="00A71CA9">
              <w:rPr>
                <w:rFonts w:ascii="Times New Roman" w:eastAsia="Times New Roman" w:hAnsi="Times New Roman" w:cs="Times New Roman"/>
                <w:color w:val="000000"/>
                <w:kern w:val="0"/>
                <w14:ligatures w14:val="none"/>
              </w:rPr>
              <w:t>specialised</w:t>
            </w:r>
            <w:proofErr w:type="spellEnd"/>
            <w:r w:rsidRPr="00A71CA9">
              <w:rPr>
                <w:rFonts w:ascii="Times New Roman" w:eastAsia="Times New Roman" w:hAnsi="Times New Roman" w:cs="Times New Roman"/>
                <w:color w:val="000000"/>
                <w:kern w:val="0"/>
                <w14:ligatures w14:val="none"/>
              </w:rPr>
              <w:t xml:space="preserve"> direct seeding equipment, training and advisory services; net effect depends on the time horizon and the ability to integrate with cover crops and rotations (Young and Schillinger, 2012)</w:t>
            </w:r>
          </w:p>
        </w:tc>
        <w:tc>
          <w:tcPr>
            <w:tcW w:w="1669" w:type="dxa"/>
            <w:tcBorders>
              <w:top w:val="nil"/>
              <w:left w:val="nil"/>
              <w:bottom w:val="single" w:sz="4" w:space="0" w:color="auto"/>
              <w:right w:val="single" w:sz="4" w:space="0" w:color="auto"/>
            </w:tcBorders>
            <w:vAlign w:val="center"/>
            <w:hideMark/>
          </w:tcPr>
          <w:p w14:paraId="347D9B35"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Suitable for large field crop holdings with adequate </w:t>
            </w:r>
            <w:proofErr w:type="spellStart"/>
            <w:r w:rsidRPr="00A71CA9">
              <w:rPr>
                <w:rFonts w:ascii="Times New Roman" w:eastAsia="Times New Roman" w:hAnsi="Times New Roman" w:cs="Times New Roman"/>
                <w:color w:val="000000"/>
                <w:kern w:val="0"/>
                <w14:ligatures w14:val="none"/>
              </w:rPr>
              <w:t>mechanisation</w:t>
            </w:r>
            <w:proofErr w:type="spellEnd"/>
            <w:r w:rsidRPr="00A71CA9">
              <w:rPr>
                <w:rFonts w:ascii="Times New Roman" w:eastAsia="Times New Roman" w:hAnsi="Times New Roman" w:cs="Times New Roman"/>
                <w:color w:val="000000"/>
                <w:kern w:val="0"/>
                <w14:ligatures w14:val="none"/>
              </w:rPr>
              <w:t xml:space="preserve">; limited applicability on small farms and hilly terrain; higher economic significance for </w:t>
            </w:r>
            <w:proofErr w:type="spellStart"/>
            <w:r w:rsidRPr="00A71CA9">
              <w:rPr>
                <w:rFonts w:ascii="Times New Roman" w:eastAsia="Times New Roman" w:hAnsi="Times New Roman" w:cs="Times New Roman"/>
                <w:color w:val="000000"/>
                <w:kern w:val="0"/>
                <w14:ligatures w14:val="none"/>
              </w:rPr>
              <w:t>specialised</w:t>
            </w:r>
            <w:proofErr w:type="spellEnd"/>
            <w:r w:rsidRPr="00A71CA9">
              <w:rPr>
                <w:rFonts w:ascii="Times New Roman" w:eastAsia="Times New Roman" w:hAnsi="Times New Roman" w:cs="Times New Roman"/>
                <w:color w:val="000000"/>
                <w:kern w:val="0"/>
                <w14:ligatures w14:val="none"/>
              </w:rPr>
              <w:t xml:space="preserve"> holdings with higher intensity (</w:t>
            </w:r>
            <w:proofErr w:type="spellStart"/>
            <w:r w:rsidRPr="00A71CA9">
              <w:rPr>
                <w:rFonts w:ascii="Times New Roman" w:eastAsia="Times New Roman" w:hAnsi="Times New Roman" w:cs="Times New Roman"/>
                <w:color w:val="000000"/>
                <w:kern w:val="0"/>
                <w14:ligatures w14:val="none"/>
              </w:rPr>
              <w:t>Katsalirou</w:t>
            </w:r>
            <w:proofErr w:type="spellEnd"/>
            <w:r w:rsidRPr="00A71CA9">
              <w:rPr>
                <w:rFonts w:ascii="Times New Roman" w:eastAsia="Times New Roman" w:hAnsi="Times New Roman" w:cs="Times New Roman"/>
                <w:color w:val="000000"/>
                <w:kern w:val="0"/>
                <w14:ligatures w14:val="none"/>
              </w:rPr>
              <w:t xml:space="preserve"> and </w:t>
            </w:r>
            <w:proofErr w:type="spellStart"/>
            <w:r w:rsidRPr="00A71CA9">
              <w:rPr>
                <w:rFonts w:ascii="Times New Roman" w:eastAsia="Times New Roman" w:hAnsi="Times New Roman" w:cs="Times New Roman"/>
                <w:color w:val="000000"/>
                <w:kern w:val="0"/>
                <w14:ligatures w14:val="none"/>
              </w:rPr>
              <w:t>Gerakis</w:t>
            </w:r>
            <w:proofErr w:type="spellEnd"/>
            <w:r w:rsidRPr="00A71CA9">
              <w:rPr>
                <w:rFonts w:ascii="Times New Roman" w:eastAsia="Times New Roman" w:hAnsi="Times New Roman" w:cs="Times New Roman"/>
                <w:color w:val="000000"/>
                <w:kern w:val="0"/>
                <w14:ligatures w14:val="none"/>
              </w:rPr>
              <w:t>, 2022)</w:t>
            </w:r>
          </w:p>
        </w:tc>
      </w:tr>
      <w:tr w:rsidR="00A71CA9" w:rsidRPr="00A71CA9" w14:paraId="4BAE4532" w14:textId="77777777" w:rsidTr="00A71CA9">
        <w:trPr>
          <w:trHeight w:val="8192"/>
          <w:jc w:val="center"/>
        </w:trPr>
        <w:tc>
          <w:tcPr>
            <w:tcW w:w="1469" w:type="dxa"/>
            <w:tcBorders>
              <w:top w:val="nil"/>
              <w:left w:val="single" w:sz="4" w:space="0" w:color="auto"/>
              <w:bottom w:val="single" w:sz="4" w:space="0" w:color="auto"/>
              <w:right w:val="single" w:sz="4" w:space="0" w:color="auto"/>
            </w:tcBorders>
            <w:vAlign w:val="center"/>
            <w:hideMark/>
          </w:tcPr>
          <w:p w14:paraId="1B5E43F8"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lastRenderedPageBreak/>
              <w:t>Cover Crops</w:t>
            </w:r>
          </w:p>
        </w:tc>
        <w:tc>
          <w:tcPr>
            <w:tcW w:w="1603" w:type="dxa"/>
            <w:tcBorders>
              <w:top w:val="nil"/>
              <w:left w:val="nil"/>
              <w:bottom w:val="single" w:sz="4" w:space="0" w:color="auto"/>
              <w:right w:val="single" w:sz="4" w:space="0" w:color="auto"/>
            </w:tcBorders>
            <w:vAlign w:val="center"/>
            <w:hideMark/>
          </w:tcPr>
          <w:p w14:paraId="0A622F2E"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Additional short-term costs for seeds and management; medium-term reduction in mineral </w:t>
            </w:r>
            <w:proofErr w:type="spellStart"/>
            <w:r w:rsidRPr="00A71CA9">
              <w:rPr>
                <w:rFonts w:ascii="Times New Roman" w:eastAsia="Times New Roman" w:hAnsi="Times New Roman" w:cs="Times New Roman"/>
                <w:color w:val="000000"/>
                <w:kern w:val="0"/>
                <w14:ligatures w14:val="none"/>
              </w:rPr>
              <w:t>fertiliser</w:t>
            </w:r>
            <w:proofErr w:type="spellEnd"/>
            <w:r w:rsidRPr="00A71CA9">
              <w:rPr>
                <w:rFonts w:ascii="Times New Roman" w:eastAsia="Times New Roman" w:hAnsi="Times New Roman" w:cs="Times New Roman"/>
                <w:color w:val="000000"/>
                <w:kern w:val="0"/>
                <w14:ligatures w14:val="none"/>
              </w:rPr>
              <w:t xml:space="preserve"> and anti-erosion costs; holdings applying the practice show lower insurance losses during extreme weather events (</w:t>
            </w:r>
            <w:proofErr w:type="spellStart"/>
            <w:r w:rsidRPr="00A71CA9">
              <w:rPr>
                <w:rFonts w:ascii="Times New Roman" w:eastAsia="Times New Roman" w:hAnsi="Times New Roman" w:cs="Times New Roman"/>
                <w:color w:val="000000"/>
                <w:kern w:val="0"/>
                <w14:ligatures w14:val="none"/>
              </w:rPr>
              <w:t>Quintarelli</w:t>
            </w:r>
            <w:proofErr w:type="spellEnd"/>
            <w:r w:rsidRPr="00A71CA9">
              <w:rPr>
                <w:rFonts w:ascii="Times New Roman" w:eastAsia="Times New Roman" w:hAnsi="Times New Roman" w:cs="Times New Roman"/>
                <w:color w:val="000000"/>
                <w:kern w:val="0"/>
                <w14:ligatures w14:val="none"/>
              </w:rPr>
              <w:t xml:space="preserve"> et al., 2022; Adetunji et al., 2020; </w:t>
            </w:r>
            <w:proofErr w:type="spellStart"/>
            <w:r w:rsidRPr="00A71CA9">
              <w:rPr>
                <w:rFonts w:ascii="Times New Roman" w:eastAsia="Times New Roman" w:hAnsi="Times New Roman" w:cs="Times New Roman"/>
                <w:color w:val="000000"/>
                <w:kern w:val="0"/>
                <w14:ligatures w14:val="none"/>
              </w:rPr>
              <w:t>Aglasan</w:t>
            </w:r>
            <w:proofErr w:type="spellEnd"/>
            <w:r w:rsidRPr="00A71CA9">
              <w:rPr>
                <w:rFonts w:ascii="Times New Roman" w:eastAsia="Times New Roman" w:hAnsi="Times New Roman" w:cs="Times New Roman"/>
                <w:color w:val="000000"/>
                <w:kern w:val="0"/>
                <w14:ligatures w14:val="none"/>
              </w:rPr>
              <w:t xml:space="preserve"> et al., 2024)</w:t>
            </w:r>
          </w:p>
        </w:tc>
        <w:tc>
          <w:tcPr>
            <w:tcW w:w="1736" w:type="dxa"/>
            <w:tcBorders>
              <w:top w:val="nil"/>
              <w:left w:val="nil"/>
              <w:bottom w:val="single" w:sz="4" w:space="0" w:color="auto"/>
              <w:right w:val="single" w:sz="4" w:space="0" w:color="auto"/>
            </w:tcBorders>
            <w:vAlign w:val="center"/>
            <w:hideMark/>
          </w:tcPr>
          <w:p w14:paraId="73B8A005"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Reduction of bulk density; increased water-stable aggregates; uptake of residual mineral nitrogen and phosphorus; limitation of leaching and groundwater contamination (</w:t>
            </w:r>
            <w:proofErr w:type="spellStart"/>
            <w:r w:rsidRPr="00A71CA9">
              <w:rPr>
                <w:rFonts w:ascii="Times New Roman" w:eastAsia="Times New Roman" w:hAnsi="Times New Roman" w:cs="Times New Roman"/>
                <w:color w:val="000000"/>
                <w:kern w:val="0"/>
                <w14:ligatures w14:val="none"/>
              </w:rPr>
              <w:t>Himmelbauer</w:t>
            </w:r>
            <w:proofErr w:type="spellEnd"/>
            <w:r w:rsidRPr="00A71CA9">
              <w:rPr>
                <w:rFonts w:ascii="Times New Roman" w:eastAsia="Times New Roman" w:hAnsi="Times New Roman" w:cs="Times New Roman"/>
                <w:color w:val="000000"/>
                <w:kern w:val="0"/>
                <w14:ligatures w14:val="none"/>
              </w:rPr>
              <w:t xml:space="preserve"> et al., 2013; </w:t>
            </w:r>
            <w:proofErr w:type="spellStart"/>
            <w:r w:rsidRPr="00A71CA9">
              <w:rPr>
                <w:rFonts w:ascii="Times New Roman" w:eastAsia="Times New Roman" w:hAnsi="Times New Roman" w:cs="Times New Roman"/>
                <w:color w:val="000000"/>
                <w:kern w:val="0"/>
                <w14:ligatures w14:val="none"/>
              </w:rPr>
              <w:t>Bichev</w:t>
            </w:r>
            <w:proofErr w:type="spellEnd"/>
            <w:r w:rsidRPr="00A71CA9">
              <w:rPr>
                <w:rFonts w:ascii="Times New Roman" w:eastAsia="Times New Roman" w:hAnsi="Times New Roman" w:cs="Times New Roman"/>
                <w:color w:val="000000"/>
                <w:kern w:val="0"/>
                <w14:ligatures w14:val="none"/>
              </w:rPr>
              <w:t xml:space="preserve"> and Yordanova, 2018)</w:t>
            </w:r>
          </w:p>
        </w:tc>
        <w:tc>
          <w:tcPr>
            <w:tcW w:w="1569" w:type="dxa"/>
            <w:tcBorders>
              <w:top w:val="nil"/>
              <w:left w:val="nil"/>
              <w:bottom w:val="single" w:sz="4" w:space="0" w:color="auto"/>
              <w:right w:val="single" w:sz="4" w:space="0" w:color="auto"/>
            </w:tcBorders>
            <w:vAlign w:val="center"/>
            <w:hideMark/>
          </w:tcPr>
          <w:p w14:paraId="0CDFD562"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Low to medium; seed and management costs are offset by reduced </w:t>
            </w:r>
            <w:proofErr w:type="spellStart"/>
            <w:r w:rsidRPr="00A71CA9">
              <w:rPr>
                <w:rFonts w:ascii="Times New Roman" w:eastAsia="Times New Roman" w:hAnsi="Times New Roman" w:cs="Times New Roman"/>
                <w:color w:val="000000"/>
                <w:kern w:val="0"/>
                <w14:ligatures w14:val="none"/>
              </w:rPr>
              <w:t>fertilisation</w:t>
            </w:r>
            <w:proofErr w:type="spellEnd"/>
            <w:r w:rsidRPr="00A71CA9">
              <w:rPr>
                <w:rFonts w:ascii="Times New Roman" w:eastAsia="Times New Roman" w:hAnsi="Times New Roman" w:cs="Times New Roman"/>
                <w:color w:val="000000"/>
                <w:kern w:val="0"/>
                <w14:ligatures w14:val="none"/>
              </w:rPr>
              <w:t xml:space="preserve"> costs with long-term application (</w:t>
            </w:r>
            <w:proofErr w:type="spellStart"/>
            <w:r w:rsidRPr="00A71CA9">
              <w:rPr>
                <w:rFonts w:ascii="Times New Roman" w:eastAsia="Times New Roman" w:hAnsi="Times New Roman" w:cs="Times New Roman"/>
                <w:color w:val="000000"/>
                <w:kern w:val="0"/>
                <w14:ligatures w14:val="none"/>
              </w:rPr>
              <w:t>Quintarelli</w:t>
            </w:r>
            <w:proofErr w:type="spellEnd"/>
            <w:r w:rsidRPr="00A71CA9">
              <w:rPr>
                <w:rFonts w:ascii="Times New Roman" w:eastAsia="Times New Roman" w:hAnsi="Times New Roman" w:cs="Times New Roman"/>
                <w:color w:val="000000"/>
                <w:kern w:val="0"/>
                <w14:ligatures w14:val="none"/>
              </w:rPr>
              <w:t xml:space="preserve"> et al., 2022)</w:t>
            </w:r>
          </w:p>
        </w:tc>
        <w:tc>
          <w:tcPr>
            <w:tcW w:w="1669" w:type="dxa"/>
            <w:tcBorders>
              <w:top w:val="nil"/>
              <w:left w:val="nil"/>
              <w:bottom w:val="single" w:sz="4" w:space="0" w:color="auto"/>
              <w:right w:val="single" w:sz="4" w:space="0" w:color="auto"/>
            </w:tcBorders>
            <w:vAlign w:val="center"/>
            <w:hideMark/>
          </w:tcPr>
          <w:p w14:paraId="0209C3EE"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Suitable for field crop and mixed holdings; key tool for adaptation to drought in regions with high sensitivity of the water regime (</w:t>
            </w:r>
            <w:proofErr w:type="spellStart"/>
            <w:r w:rsidRPr="00A71CA9">
              <w:rPr>
                <w:rFonts w:ascii="Times New Roman" w:eastAsia="Times New Roman" w:hAnsi="Times New Roman" w:cs="Times New Roman"/>
                <w:color w:val="000000"/>
                <w:kern w:val="0"/>
                <w14:ligatures w14:val="none"/>
              </w:rPr>
              <w:t>Dzhuvinov</w:t>
            </w:r>
            <w:proofErr w:type="spellEnd"/>
            <w:r w:rsidRPr="00A71CA9">
              <w:rPr>
                <w:rFonts w:ascii="Times New Roman" w:eastAsia="Times New Roman" w:hAnsi="Times New Roman" w:cs="Times New Roman"/>
                <w:color w:val="000000"/>
                <w:kern w:val="0"/>
                <w14:ligatures w14:val="none"/>
              </w:rPr>
              <w:t xml:space="preserve"> et al., 2024)</w:t>
            </w:r>
          </w:p>
        </w:tc>
      </w:tr>
      <w:tr w:rsidR="00A71CA9" w:rsidRPr="00A71CA9" w14:paraId="264EABC3" w14:textId="77777777" w:rsidTr="00A71CA9">
        <w:trPr>
          <w:trHeight w:val="8192"/>
          <w:jc w:val="center"/>
        </w:trPr>
        <w:tc>
          <w:tcPr>
            <w:tcW w:w="1469" w:type="dxa"/>
            <w:tcBorders>
              <w:top w:val="nil"/>
              <w:left w:val="single" w:sz="4" w:space="0" w:color="auto"/>
              <w:bottom w:val="single" w:sz="4" w:space="0" w:color="auto"/>
              <w:right w:val="single" w:sz="4" w:space="0" w:color="auto"/>
            </w:tcBorders>
            <w:vAlign w:val="center"/>
            <w:hideMark/>
          </w:tcPr>
          <w:p w14:paraId="77A170CB"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lastRenderedPageBreak/>
              <w:t>Precision Agriculture (GPS, sensors, drones)</w:t>
            </w:r>
          </w:p>
        </w:tc>
        <w:tc>
          <w:tcPr>
            <w:tcW w:w="1603" w:type="dxa"/>
            <w:tcBorders>
              <w:top w:val="nil"/>
              <w:left w:val="nil"/>
              <w:bottom w:val="single" w:sz="4" w:space="0" w:color="auto"/>
              <w:right w:val="single" w:sz="4" w:space="0" w:color="auto"/>
            </w:tcBorders>
            <w:vAlign w:val="center"/>
            <w:hideMark/>
          </w:tcPr>
          <w:p w14:paraId="07712698"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Reduction in </w:t>
            </w:r>
            <w:proofErr w:type="spellStart"/>
            <w:r w:rsidRPr="00A71CA9">
              <w:rPr>
                <w:rFonts w:ascii="Times New Roman" w:eastAsia="Times New Roman" w:hAnsi="Times New Roman" w:cs="Times New Roman"/>
                <w:color w:val="000000"/>
                <w:kern w:val="0"/>
                <w14:ligatures w14:val="none"/>
              </w:rPr>
              <w:t>fertiliser</w:t>
            </w:r>
            <w:proofErr w:type="spellEnd"/>
            <w:r w:rsidRPr="00A71CA9">
              <w:rPr>
                <w:rFonts w:ascii="Times New Roman" w:eastAsia="Times New Roman" w:hAnsi="Times New Roman" w:cs="Times New Roman"/>
                <w:color w:val="000000"/>
                <w:kern w:val="0"/>
                <w14:ligatures w14:val="none"/>
              </w:rPr>
              <w:t xml:space="preserve"> and crop protection product costs without negative effect on yields â€” effects vary depending on scale, crop structure and level of technological integration (</w:t>
            </w:r>
            <w:proofErr w:type="spellStart"/>
            <w:r w:rsidRPr="00A71CA9">
              <w:rPr>
                <w:rFonts w:ascii="Times New Roman" w:eastAsia="Times New Roman" w:hAnsi="Times New Roman" w:cs="Times New Roman"/>
                <w:color w:val="000000"/>
                <w:kern w:val="0"/>
                <w14:ligatures w14:val="none"/>
              </w:rPr>
              <w:t>Padhiary</w:t>
            </w:r>
            <w:proofErr w:type="spellEnd"/>
            <w:r w:rsidRPr="00A71CA9">
              <w:rPr>
                <w:rFonts w:ascii="Times New Roman" w:eastAsia="Times New Roman" w:hAnsi="Times New Roman" w:cs="Times New Roman"/>
                <w:color w:val="000000"/>
                <w:kern w:val="0"/>
                <w14:ligatures w14:val="none"/>
              </w:rPr>
              <w:t xml:space="preserve"> et al., 2024; </w:t>
            </w:r>
            <w:proofErr w:type="spellStart"/>
            <w:r w:rsidRPr="00A71CA9">
              <w:rPr>
                <w:rFonts w:ascii="Times New Roman" w:eastAsia="Times New Roman" w:hAnsi="Times New Roman" w:cs="Times New Roman"/>
                <w:color w:val="000000"/>
                <w:kern w:val="0"/>
                <w14:ligatures w14:val="none"/>
              </w:rPr>
              <w:t>Karunathilake</w:t>
            </w:r>
            <w:proofErr w:type="spellEnd"/>
            <w:r w:rsidRPr="00A71CA9">
              <w:rPr>
                <w:rFonts w:ascii="Times New Roman" w:eastAsia="Times New Roman" w:hAnsi="Times New Roman" w:cs="Times New Roman"/>
                <w:color w:val="000000"/>
                <w:kern w:val="0"/>
                <w14:ligatures w14:val="none"/>
              </w:rPr>
              <w:t xml:space="preserve"> et al., 2023); </w:t>
            </w:r>
            <w:proofErr w:type="spellStart"/>
            <w:r w:rsidRPr="00A71CA9">
              <w:rPr>
                <w:rFonts w:ascii="Times New Roman" w:eastAsia="Times New Roman" w:hAnsi="Times New Roman" w:cs="Times New Roman"/>
                <w:color w:val="000000"/>
                <w:kern w:val="0"/>
                <w14:ligatures w14:val="none"/>
              </w:rPr>
              <w:t>stabilisation</w:t>
            </w:r>
            <w:proofErr w:type="spellEnd"/>
            <w:r w:rsidRPr="00A71CA9">
              <w:rPr>
                <w:rFonts w:ascii="Times New Roman" w:eastAsia="Times New Roman" w:hAnsi="Times New Roman" w:cs="Times New Roman"/>
                <w:color w:val="000000"/>
                <w:kern w:val="0"/>
                <w14:ligatures w14:val="none"/>
              </w:rPr>
              <w:t xml:space="preserve"> of yields under climatic uncertainty (Saranya et al., 2023)</w:t>
            </w:r>
          </w:p>
        </w:tc>
        <w:tc>
          <w:tcPr>
            <w:tcW w:w="1736" w:type="dxa"/>
            <w:tcBorders>
              <w:top w:val="nil"/>
              <w:left w:val="nil"/>
              <w:bottom w:val="single" w:sz="4" w:space="0" w:color="auto"/>
              <w:right w:val="single" w:sz="4" w:space="0" w:color="auto"/>
            </w:tcBorders>
            <w:vAlign w:val="center"/>
            <w:hideMark/>
          </w:tcPr>
          <w:p w14:paraId="1AE238AA"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Reduction of diffuse pollution of soils and water resources; limitation of </w:t>
            </w:r>
            <w:proofErr w:type="spellStart"/>
            <w:r w:rsidRPr="00A71CA9">
              <w:rPr>
                <w:rFonts w:ascii="Times New Roman" w:eastAsia="Times New Roman" w:hAnsi="Times New Roman" w:cs="Times New Roman"/>
                <w:color w:val="000000"/>
                <w:kern w:val="0"/>
                <w14:ligatures w14:val="none"/>
              </w:rPr>
              <w:t>Nâ</w:t>
            </w:r>
            <w:proofErr w:type="spellEnd"/>
            <w:r w:rsidRPr="00A71CA9">
              <w:rPr>
                <w:rFonts w:ascii="Times New Roman" w:eastAsia="Times New Roman" w:hAnsi="Times New Roman" w:cs="Times New Roman"/>
                <w:color w:val="000000"/>
                <w:kern w:val="0"/>
                <w14:ligatures w14:val="none"/>
              </w:rPr>
              <w:t xml:space="preserve">‚‚O emissions through more precise nitrogen dosing; </w:t>
            </w:r>
            <w:proofErr w:type="spellStart"/>
            <w:r w:rsidRPr="00A71CA9">
              <w:rPr>
                <w:rFonts w:ascii="Times New Roman" w:eastAsia="Times New Roman" w:hAnsi="Times New Roman" w:cs="Times New Roman"/>
                <w:color w:val="000000"/>
                <w:kern w:val="0"/>
                <w14:ligatures w14:val="none"/>
              </w:rPr>
              <w:t>optimisation</w:t>
            </w:r>
            <w:proofErr w:type="spellEnd"/>
            <w:r w:rsidRPr="00A71CA9">
              <w:rPr>
                <w:rFonts w:ascii="Times New Roman" w:eastAsia="Times New Roman" w:hAnsi="Times New Roman" w:cs="Times New Roman"/>
                <w:color w:val="000000"/>
                <w:kern w:val="0"/>
                <w14:ligatures w14:val="none"/>
              </w:rPr>
              <w:t xml:space="preserve"> of water use (Adewusi et al., 2024; Ram et al., 2024)</w:t>
            </w:r>
          </w:p>
        </w:tc>
        <w:tc>
          <w:tcPr>
            <w:tcW w:w="1569" w:type="dxa"/>
            <w:tcBorders>
              <w:top w:val="nil"/>
              <w:left w:val="nil"/>
              <w:bottom w:val="single" w:sz="4" w:space="0" w:color="auto"/>
              <w:right w:val="single" w:sz="4" w:space="0" w:color="auto"/>
            </w:tcBorders>
            <w:vAlign w:val="center"/>
            <w:hideMark/>
          </w:tcPr>
          <w:p w14:paraId="73A48202"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High initial capital expenditure for equipment, software and training; economic return is strongly dependent on farm size â€” effects on profitability are more pronounced on larger holdings (Yadav et al., 2023)</w:t>
            </w:r>
          </w:p>
        </w:tc>
        <w:tc>
          <w:tcPr>
            <w:tcW w:w="1669" w:type="dxa"/>
            <w:tcBorders>
              <w:top w:val="nil"/>
              <w:left w:val="nil"/>
              <w:bottom w:val="single" w:sz="4" w:space="0" w:color="auto"/>
              <w:right w:val="single" w:sz="4" w:space="0" w:color="auto"/>
            </w:tcBorders>
            <w:vAlign w:val="center"/>
            <w:hideMark/>
          </w:tcPr>
          <w:p w14:paraId="091C8609"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Suitable primarily for larger holdings; applicability on small and medium-sized farms is limited by investment barriers; EU public policies through eco-schemes and </w:t>
            </w:r>
            <w:proofErr w:type="spellStart"/>
            <w:r w:rsidRPr="00A71CA9">
              <w:rPr>
                <w:rFonts w:ascii="Times New Roman" w:eastAsia="Times New Roman" w:hAnsi="Times New Roman" w:cs="Times New Roman"/>
                <w:color w:val="000000"/>
                <w:kern w:val="0"/>
                <w14:ligatures w14:val="none"/>
              </w:rPr>
              <w:t>digitalisation</w:t>
            </w:r>
            <w:proofErr w:type="spellEnd"/>
            <w:r w:rsidRPr="00A71CA9">
              <w:rPr>
                <w:rFonts w:ascii="Times New Roman" w:eastAsia="Times New Roman" w:hAnsi="Times New Roman" w:cs="Times New Roman"/>
                <w:color w:val="000000"/>
                <w:kern w:val="0"/>
                <w14:ligatures w14:val="none"/>
              </w:rPr>
              <w:t xml:space="preserve"> measures play a key role in overcoming these barriers (Getahun et al., 2024)</w:t>
            </w:r>
          </w:p>
        </w:tc>
      </w:tr>
      <w:tr w:rsidR="00A71CA9" w:rsidRPr="00A71CA9" w14:paraId="72435601" w14:textId="77777777" w:rsidTr="00A71CA9">
        <w:trPr>
          <w:trHeight w:val="8192"/>
          <w:jc w:val="center"/>
        </w:trPr>
        <w:tc>
          <w:tcPr>
            <w:tcW w:w="1469" w:type="dxa"/>
            <w:tcBorders>
              <w:top w:val="nil"/>
              <w:left w:val="single" w:sz="4" w:space="0" w:color="auto"/>
              <w:bottom w:val="single" w:sz="4" w:space="0" w:color="auto"/>
              <w:right w:val="single" w:sz="4" w:space="0" w:color="auto"/>
            </w:tcBorders>
            <w:vAlign w:val="center"/>
            <w:hideMark/>
          </w:tcPr>
          <w:p w14:paraId="33201CED"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lastRenderedPageBreak/>
              <w:t xml:space="preserve">Inhibited Nitrogen </w:t>
            </w:r>
            <w:proofErr w:type="spellStart"/>
            <w:r w:rsidRPr="00A71CA9">
              <w:rPr>
                <w:rFonts w:ascii="Times New Roman" w:eastAsia="Times New Roman" w:hAnsi="Times New Roman" w:cs="Times New Roman"/>
                <w:color w:val="000000"/>
                <w:kern w:val="0"/>
                <w14:ligatures w14:val="none"/>
              </w:rPr>
              <w:t>Fertilisers</w:t>
            </w:r>
            <w:proofErr w:type="spellEnd"/>
          </w:p>
        </w:tc>
        <w:tc>
          <w:tcPr>
            <w:tcW w:w="1603" w:type="dxa"/>
            <w:tcBorders>
              <w:top w:val="nil"/>
              <w:left w:val="nil"/>
              <w:bottom w:val="single" w:sz="4" w:space="0" w:color="auto"/>
              <w:right w:val="single" w:sz="4" w:space="0" w:color="auto"/>
            </w:tcBorders>
            <w:vAlign w:val="center"/>
            <w:hideMark/>
          </w:tcPr>
          <w:p w14:paraId="720275B4"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Increased nitrogen use efficiency by plants; reduced need for additional </w:t>
            </w:r>
            <w:proofErr w:type="spellStart"/>
            <w:r w:rsidRPr="00A71CA9">
              <w:rPr>
                <w:rFonts w:ascii="Times New Roman" w:eastAsia="Times New Roman" w:hAnsi="Times New Roman" w:cs="Times New Roman"/>
                <w:color w:val="000000"/>
                <w:kern w:val="0"/>
                <w14:ligatures w14:val="none"/>
              </w:rPr>
              <w:t>fertilisation</w:t>
            </w:r>
            <w:proofErr w:type="spellEnd"/>
            <w:r w:rsidRPr="00A71CA9">
              <w:rPr>
                <w:rFonts w:ascii="Times New Roman" w:eastAsia="Times New Roman" w:hAnsi="Times New Roman" w:cs="Times New Roman"/>
                <w:color w:val="000000"/>
                <w:kern w:val="0"/>
                <w14:ligatures w14:val="none"/>
              </w:rPr>
              <w:t xml:space="preserve">; DMPP reduces nitrogen losses by approximately 30â€“40%; global market value of inhibitors estimated at USD 602 million in 2024 â€” an indicator of their growing economic importance (Ivanov and Kirovski, 2014; Coskun et al., 2017; </w:t>
            </w:r>
            <w:proofErr w:type="spellStart"/>
            <w:r w:rsidRPr="00A71CA9">
              <w:rPr>
                <w:rFonts w:ascii="Times New Roman" w:eastAsia="Times New Roman" w:hAnsi="Times New Roman" w:cs="Times New Roman"/>
                <w:color w:val="000000"/>
                <w:kern w:val="0"/>
                <w14:ligatures w14:val="none"/>
              </w:rPr>
              <w:t>DataM</w:t>
            </w:r>
            <w:proofErr w:type="spellEnd"/>
            <w:r w:rsidRPr="00A71CA9">
              <w:rPr>
                <w:rFonts w:ascii="Times New Roman" w:eastAsia="Times New Roman" w:hAnsi="Times New Roman" w:cs="Times New Roman"/>
                <w:color w:val="000000"/>
                <w:kern w:val="0"/>
                <w14:ligatures w14:val="none"/>
              </w:rPr>
              <w:t xml:space="preserve"> Intelligence, 2024)</w:t>
            </w:r>
          </w:p>
        </w:tc>
        <w:tc>
          <w:tcPr>
            <w:tcW w:w="1736" w:type="dxa"/>
            <w:tcBorders>
              <w:top w:val="nil"/>
              <w:left w:val="nil"/>
              <w:bottom w:val="single" w:sz="4" w:space="0" w:color="auto"/>
              <w:right w:val="single" w:sz="4" w:space="0" w:color="auto"/>
            </w:tcBorders>
            <w:vAlign w:val="center"/>
            <w:hideMark/>
          </w:tcPr>
          <w:p w14:paraId="636A70C7"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Reduction of </w:t>
            </w:r>
            <w:proofErr w:type="spellStart"/>
            <w:r w:rsidRPr="00A71CA9">
              <w:rPr>
                <w:rFonts w:ascii="Times New Roman" w:eastAsia="Times New Roman" w:hAnsi="Times New Roman" w:cs="Times New Roman"/>
                <w:color w:val="000000"/>
                <w:kern w:val="0"/>
                <w14:ligatures w14:val="none"/>
              </w:rPr>
              <w:t>Nâ</w:t>
            </w:r>
            <w:proofErr w:type="spellEnd"/>
            <w:r w:rsidRPr="00A71CA9">
              <w:rPr>
                <w:rFonts w:ascii="Times New Roman" w:eastAsia="Times New Roman" w:hAnsi="Times New Roman" w:cs="Times New Roman"/>
                <w:color w:val="000000"/>
                <w:kern w:val="0"/>
                <w14:ligatures w14:val="none"/>
              </w:rPr>
              <w:t xml:space="preserve">‚‚O emissions by 50â€“60% with </w:t>
            </w:r>
            <w:proofErr w:type="spellStart"/>
            <w:r w:rsidRPr="00A71CA9">
              <w:rPr>
                <w:rFonts w:ascii="Times New Roman" w:eastAsia="Times New Roman" w:hAnsi="Times New Roman" w:cs="Times New Roman"/>
                <w:color w:val="000000"/>
                <w:kern w:val="0"/>
                <w14:ligatures w14:val="none"/>
              </w:rPr>
              <w:t>Pyridylnitrite</w:t>
            </w:r>
            <w:proofErr w:type="spellEnd"/>
            <w:r w:rsidRPr="00A71CA9">
              <w:rPr>
                <w:rFonts w:ascii="Times New Roman" w:eastAsia="Times New Roman" w:hAnsi="Times New Roman" w:cs="Times New Roman"/>
                <w:color w:val="000000"/>
                <w:kern w:val="0"/>
                <w14:ligatures w14:val="none"/>
              </w:rPr>
              <w:t xml:space="preserve">; limitation of nitrate leaching into groundwater and surface waters; CRF </w:t>
            </w:r>
            <w:proofErr w:type="spellStart"/>
            <w:r w:rsidRPr="00A71CA9">
              <w:rPr>
                <w:rFonts w:ascii="Times New Roman" w:eastAsia="Times New Roman" w:hAnsi="Times New Roman" w:cs="Times New Roman"/>
                <w:color w:val="000000"/>
                <w:kern w:val="0"/>
                <w14:ligatures w14:val="none"/>
              </w:rPr>
              <w:t>fertilisers</w:t>
            </w:r>
            <w:proofErr w:type="spellEnd"/>
            <w:r w:rsidRPr="00A71CA9">
              <w:rPr>
                <w:rFonts w:ascii="Times New Roman" w:eastAsia="Times New Roman" w:hAnsi="Times New Roman" w:cs="Times New Roman"/>
                <w:color w:val="000000"/>
                <w:kern w:val="0"/>
                <w14:ligatures w14:val="none"/>
              </w:rPr>
              <w:t xml:space="preserve"> reduce nutrient leaching by up to 40% (Song et al., 2025; </w:t>
            </w:r>
            <w:proofErr w:type="spellStart"/>
            <w:r w:rsidRPr="00A71CA9">
              <w:rPr>
                <w:rFonts w:ascii="Times New Roman" w:eastAsia="Times New Roman" w:hAnsi="Times New Roman" w:cs="Times New Roman"/>
                <w:color w:val="000000"/>
                <w:kern w:val="0"/>
                <w14:ligatures w14:val="none"/>
              </w:rPr>
              <w:t>ProchÃ¡zka</w:t>
            </w:r>
            <w:proofErr w:type="spellEnd"/>
            <w:r w:rsidRPr="00A71CA9">
              <w:rPr>
                <w:rFonts w:ascii="Times New Roman" w:eastAsia="Times New Roman" w:hAnsi="Times New Roman" w:cs="Times New Roman"/>
                <w:color w:val="000000"/>
                <w:kern w:val="0"/>
                <w14:ligatures w14:val="none"/>
              </w:rPr>
              <w:t xml:space="preserve"> et al., 2012) â€” see Table 2</w:t>
            </w:r>
          </w:p>
        </w:tc>
        <w:tc>
          <w:tcPr>
            <w:tcW w:w="1569" w:type="dxa"/>
            <w:tcBorders>
              <w:top w:val="nil"/>
              <w:left w:val="nil"/>
              <w:bottom w:val="single" w:sz="4" w:space="0" w:color="auto"/>
              <w:right w:val="single" w:sz="4" w:space="0" w:color="auto"/>
            </w:tcBorders>
            <w:vAlign w:val="center"/>
            <w:hideMark/>
          </w:tcPr>
          <w:p w14:paraId="05755BD6"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Low to medium; higher unit price of </w:t>
            </w:r>
            <w:proofErr w:type="spellStart"/>
            <w:r w:rsidRPr="00A71CA9">
              <w:rPr>
                <w:rFonts w:ascii="Times New Roman" w:eastAsia="Times New Roman" w:hAnsi="Times New Roman" w:cs="Times New Roman"/>
                <w:color w:val="000000"/>
                <w:kern w:val="0"/>
                <w14:ligatures w14:val="none"/>
              </w:rPr>
              <w:t>fertiliser</w:t>
            </w:r>
            <w:proofErr w:type="spellEnd"/>
            <w:r w:rsidRPr="00A71CA9">
              <w:rPr>
                <w:rFonts w:ascii="Times New Roman" w:eastAsia="Times New Roman" w:hAnsi="Times New Roman" w:cs="Times New Roman"/>
                <w:color w:val="000000"/>
                <w:kern w:val="0"/>
                <w14:ligatures w14:val="none"/>
              </w:rPr>
              <w:t xml:space="preserve"> offset by lower required dosage and fewer applications (Ivanov and Kirovski, 2014)</w:t>
            </w:r>
          </w:p>
        </w:tc>
        <w:tc>
          <w:tcPr>
            <w:tcW w:w="1669" w:type="dxa"/>
            <w:tcBorders>
              <w:top w:val="nil"/>
              <w:left w:val="nil"/>
              <w:bottom w:val="single" w:sz="4" w:space="0" w:color="auto"/>
              <w:right w:val="single" w:sz="4" w:space="0" w:color="auto"/>
            </w:tcBorders>
            <w:vAlign w:val="center"/>
            <w:hideMark/>
          </w:tcPr>
          <w:p w14:paraId="0250D68B"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Applicable to all field crop holdings; particularly effective on wet soils and near vulnerable water bodies; easily integrable into CAP eco-schemes (Song et al., 2025)</w:t>
            </w:r>
          </w:p>
        </w:tc>
      </w:tr>
      <w:tr w:rsidR="00A71CA9" w:rsidRPr="00A71CA9" w14:paraId="7D04C00B" w14:textId="77777777" w:rsidTr="00A71CA9">
        <w:trPr>
          <w:trHeight w:val="8172"/>
          <w:jc w:val="center"/>
        </w:trPr>
        <w:tc>
          <w:tcPr>
            <w:tcW w:w="1469" w:type="dxa"/>
            <w:tcBorders>
              <w:top w:val="nil"/>
              <w:left w:val="single" w:sz="4" w:space="0" w:color="auto"/>
              <w:bottom w:val="single" w:sz="4" w:space="0" w:color="auto"/>
              <w:right w:val="single" w:sz="4" w:space="0" w:color="auto"/>
            </w:tcBorders>
            <w:vAlign w:val="center"/>
            <w:hideMark/>
          </w:tcPr>
          <w:p w14:paraId="1C475775"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lastRenderedPageBreak/>
              <w:t>Integrated Pest Management (IPM)</w:t>
            </w:r>
          </w:p>
        </w:tc>
        <w:tc>
          <w:tcPr>
            <w:tcW w:w="1603" w:type="dxa"/>
            <w:tcBorders>
              <w:top w:val="nil"/>
              <w:left w:val="nil"/>
              <w:bottom w:val="single" w:sz="4" w:space="0" w:color="auto"/>
              <w:right w:val="single" w:sz="4" w:space="0" w:color="auto"/>
            </w:tcBorders>
            <w:vAlign w:val="center"/>
            <w:hideMark/>
          </w:tcPr>
          <w:p w14:paraId="77F2EE0E"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Reduction in pesticide costs through the application of economic injury levels; cost </w:t>
            </w:r>
            <w:proofErr w:type="spellStart"/>
            <w:r w:rsidRPr="00A71CA9">
              <w:rPr>
                <w:rFonts w:ascii="Times New Roman" w:eastAsia="Times New Roman" w:hAnsi="Times New Roman" w:cs="Times New Roman"/>
                <w:color w:val="000000"/>
                <w:kern w:val="0"/>
                <w14:ligatures w14:val="none"/>
              </w:rPr>
              <w:t>optimisation</w:t>
            </w:r>
            <w:proofErr w:type="spellEnd"/>
            <w:r w:rsidRPr="00A71CA9">
              <w:rPr>
                <w:rFonts w:ascii="Times New Roman" w:eastAsia="Times New Roman" w:hAnsi="Times New Roman" w:cs="Times New Roman"/>
                <w:color w:val="000000"/>
                <w:kern w:val="0"/>
                <w14:ligatures w14:val="none"/>
              </w:rPr>
              <w:t xml:space="preserve"> under limited budgets by shifting from </w:t>
            </w:r>
            <w:proofErr w:type="spellStart"/>
            <w:r w:rsidRPr="00A71CA9">
              <w:rPr>
                <w:rFonts w:ascii="Times New Roman" w:eastAsia="Times New Roman" w:hAnsi="Times New Roman" w:cs="Times New Roman"/>
                <w:color w:val="000000"/>
                <w:kern w:val="0"/>
                <w14:ligatures w14:val="none"/>
              </w:rPr>
              <w:t>â€œcalendar-basedâ</w:t>
            </w:r>
            <w:proofErr w:type="spellEnd"/>
            <w:r w:rsidRPr="00A71CA9">
              <w:rPr>
                <w:rFonts w:ascii="Times New Roman" w:eastAsia="Times New Roman" w:hAnsi="Times New Roman" w:cs="Times New Roman"/>
                <w:color w:val="000000"/>
                <w:kern w:val="0"/>
                <w14:ligatures w14:val="none"/>
              </w:rPr>
              <w:t>€ treatments to management based on diagnostics and forecasting; medium-term â€” more stable revenues under climatic and market uncertainty (Elliott et al., 1995; Kogan, 1998; Rustia et al., 2022)</w:t>
            </w:r>
          </w:p>
        </w:tc>
        <w:tc>
          <w:tcPr>
            <w:tcW w:w="1736" w:type="dxa"/>
            <w:tcBorders>
              <w:top w:val="nil"/>
              <w:left w:val="nil"/>
              <w:bottom w:val="single" w:sz="4" w:space="0" w:color="auto"/>
              <w:right w:val="single" w:sz="4" w:space="0" w:color="auto"/>
            </w:tcBorders>
            <w:vAlign w:val="center"/>
            <w:hideMark/>
          </w:tcPr>
          <w:p w14:paraId="3DA38506"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Reduction of pesticide load on soils and waters; protection of beneficial insects, pollinators and natural enemies of pests; maintenance of functional biodiversity in agroecosystems (Gao et al., 2025; Zhou et al., 2024)</w:t>
            </w:r>
          </w:p>
        </w:tc>
        <w:tc>
          <w:tcPr>
            <w:tcW w:w="1569" w:type="dxa"/>
            <w:tcBorders>
              <w:top w:val="nil"/>
              <w:left w:val="nil"/>
              <w:bottom w:val="single" w:sz="4" w:space="0" w:color="auto"/>
              <w:right w:val="single" w:sz="4" w:space="0" w:color="auto"/>
            </w:tcBorders>
            <w:vAlign w:val="center"/>
            <w:hideMark/>
          </w:tcPr>
          <w:p w14:paraId="45330D6C"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Low when trained personnel are available; medium when </w:t>
            </w:r>
            <w:proofErr w:type="spellStart"/>
            <w:r w:rsidRPr="00A71CA9">
              <w:rPr>
                <w:rFonts w:ascii="Times New Roman" w:eastAsia="Times New Roman" w:hAnsi="Times New Roman" w:cs="Times New Roman"/>
                <w:color w:val="000000"/>
                <w:kern w:val="0"/>
                <w14:ligatures w14:val="none"/>
              </w:rPr>
              <w:t>specialised</w:t>
            </w:r>
            <w:proofErr w:type="spellEnd"/>
            <w:r w:rsidRPr="00A71CA9">
              <w:rPr>
                <w:rFonts w:ascii="Times New Roman" w:eastAsia="Times New Roman" w:hAnsi="Times New Roman" w:cs="Times New Roman"/>
                <w:color w:val="000000"/>
                <w:kern w:val="0"/>
                <w14:ligatures w14:val="none"/>
              </w:rPr>
              <w:t xml:space="preserve"> equipment and monitoring systems are required; integration of digital technologies may increase costs but also improves decision accuracy (Han et al., 2024)</w:t>
            </w:r>
          </w:p>
        </w:tc>
        <w:tc>
          <w:tcPr>
            <w:tcW w:w="1669" w:type="dxa"/>
            <w:tcBorders>
              <w:top w:val="nil"/>
              <w:left w:val="nil"/>
              <w:bottom w:val="single" w:sz="4" w:space="0" w:color="auto"/>
              <w:right w:val="single" w:sz="4" w:space="0" w:color="auto"/>
            </w:tcBorders>
            <w:vAlign w:val="center"/>
            <w:hideMark/>
          </w:tcPr>
          <w:p w14:paraId="5296C4B2"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Applicable to all farm types; mandatory in organic production; regulatory requirement under EU Directive 2009/128/EC (European Parliament and Council, 2009)</w:t>
            </w:r>
          </w:p>
        </w:tc>
      </w:tr>
      <w:tr w:rsidR="00A71CA9" w:rsidRPr="00A71CA9" w14:paraId="7DD69A45" w14:textId="77777777" w:rsidTr="00A71CA9">
        <w:trPr>
          <w:trHeight w:val="8184"/>
          <w:jc w:val="center"/>
        </w:trPr>
        <w:tc>
          <w:tcPr>
            <w:tcW w:w="1469" w:type="dxa"/>
            <w:tcBorders>
              <w:top w:val="nil"/>
              <w:left w:val="single" w:sz="4" w:space="0" w:color="auto"/>
              <w:bottom w:val="single" w:sz="4" w:space="0" w:color="auto"/>
              <w:right w:val="single" w:sz="4" w:space="0" w:color="auto"/>
            </w:tcBorders>
            <w:vAlign w:val="center"/>
            <w:hideMark/>
          </w:tcPr>
          <w:p w14:paraId="3A486EF7"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lastRenderedPageBreak/>
              <w:t>Drip Irrigation</w:t>
            </w:r>
          </w:p>
        </w:tc>
        <w:tc>
          <w:tcPr>
            <w:tcW w:w="1603" w:type="dxa"/>
            <w:tcBorders>
              <w:top w:val="nil"/>
              <w:left w:val="nil"/>
              <w:bottom w:val="single" w:sz="4" w:space="0" w:color="auto"/>
              <w:right w:val="single" w:sz="4" w:space="0" w:color="auto"/>
            </w:tcBorders>
            <w:vAlign w:val="center"/>
            <w:hideMark/>
          </w:tcPr>
          <w:p w14:paraId="07D5D512"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Reduction in water and energy costs under irrigated conditions; 20â€“30% reduction in irrigation water while maintaining or improving yields under agronomically justified deficit regime; economic viability depends on water price, value of production and depreciation period (</w:t>
            </w:r>
            <w:proofErr w:type="spellStart"/>
            <w:r w:rsidRPr="00A71CA9">
              <w:rPr>
                <w:rFonts w:ascii="Times New Roman" w:eastAsia="Times New Roman" w:hAnsi="Times New Roman" w:cs="Times New Roman"/>
                <w:color w:val="000000"/>
                <w:kern w:val="0"/>
                <w14:ligatures w14:val="none"/>
              </w:rPr>
              <w:t>Dasberg</w:t>
            </w:r>
            <w:proofErr w:type="spellEnd"/>
            <w:r w:rsidRPr="00A71CA9">
              <w:rPr>
                <w:rFonts w:ascii="Times New Roman" w:eastAsia="Times New Roman" w:hAnsi="Times New Roman" w:cs="Times New Roman"/>
                <w:color w:val="000000"/>
                <w:kern w:val="0"/>
                <w14:ligatures w14:val="none"/>
              </w:rPr>
              <w:t xml:space="preserve"> and Or, 2013; Dimitrova and Tsvetanov, 2015)</w:t>
            </w:r>
          </w:p>
        </w:tc>
        <w:tc>
          <w:tcPr>
            <w:tcW w:w="1736" w:type="dxa"/>
            <w:tcBorders>
              <w:top w:val="nil"/>
              <w:left w:val="nil"/>
              <w:bottom w:val="single" w:sz="4" w:space="0" w:color="auto"/>
              <w:right w:val="single" w:sz="4" w:space="0" w:color="auto"/>
            </w:tcBorders>
            <w:vAlign w:val="center"/>
            <w:hideMark/>
          </w:tcPr>
          <w:p w14:paraId="315BD720"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 xml:space="preserve">Reduction of water consumption; limitation of diffuse pollution through precise dosing; prevention of soil degradation and </w:t>
            </w:r>
            <w:proofErr w:type="spellStart"/>
            <w:r w:rsidRPr="00A71CA9">
              <w:rPr>
                <w:rFonts w:ascii="Times New Roman" w:eastAsia="Times New Roman" w:hAnsi="Times New Roman" w:cs="Times New Roman"/>
                <w:color w:val="000000"/>
                <w:kern w:val="0"/>
                <w14:ligatures w14:val="none"/>
              </w:rPr>
              <w:t>salinisation</w:t>
            </w:r>
            <w:proofErr w:type="spellEnd"/>
            <w:r w:rsidRPr="00A71CA9">
              <w:rPr>
                <w:rFonts w:ascii="Times New Roman" w:eastAsia="Times New Roman" w:hAnsi="Times New Roman" w:cs="Times New Roman"/>
                <w:color w:val="000000"/>
                <w:kern w:val="0"/>
                <w14:ligatures w14:val="none"/>
              </w:rPr>
              <w:t xml:space="preserve"> (Van der </w:t>
            </w:r>
            <w:proofErr w:type="spellStart"/>
            <w:r w:rsidRPr="00A71CA9">
              <w:rPr>
                <w:rFonts w:ascii="Times New Roman" w:eastAsia="Times New Roman" w:hAnsi="Times New Roman" w:cs="Times New Roman"/>
                <w:color w:val="000000"/>
                <w:kern w:val="0"/>
                <w14:ligatures w14:val="none"/>
              </w:rPr>
              <w:t>Kooij</w:t>
            </w:r>
            <w:proofErr w:type="spellEnd"/>
            <w:r w:rsidRPr="00A71CA9">
              <w:rPr>
                <w:rFonts w:ascii="Times New Roman" w:eastAsia="Times New Roman" w:hAnsi="Times New Roman" w:cs="Times New Roman"/>
                <w:color w:val="000000"/>
                <w:kern w:val="0"/>
                <w14:ligatures w14:val="none"/>
              </w:rPr>
              <w:t xml:space="preserve"> et al., 2013; </w:t>
            </w:r>
            <w:proofErr w:type="spellStart"/>
            <w:r w:rsidRPr="00A71CA9">
              <w:rPr>
                <w:rFonts w:ascii="Times New Roman" w:eastAsia="Times New Roman" w:hAnsi="Times New Roman" w:cs="Times New Roman"/>
                <w:color w:val="000000"/>
                <w:kern w:val="0"/>
                <w14:ligatures w14:val="none"/>
              </w:rPr>
              <w:t>Benouniche</w:t>
            </w:r>
            <w:proofErr w:type="spellEnd"/>
            <w:r w:rsidRPr="00A71CA9">
              <w:rPr>
                <w:rFonts w:ascii="Times New Roman" w:eastAsia="Times New Roman" w:hAnsi="Times New Roman" w:cs="Times New Roman"/>
                <w:color w:val="000000"/>
                <w:kern w:val="0"/>
                <w14:ligatures w14:val="none"/>
              </w:rPr>
              <w:t xml:space="preserve"> et al., 2014)</w:t>
            </w:r>
          </w:p>
        </w:tc>
        <w:tc>
          <w:tcPr>
            <w:tcW w:w="1569" w:type="dxa"/>
            <w:tcBorders>
              <w:top w:val="nil"/>
              <w:left w:val="nil"/>
              <w:bottom w:val="single" w:sz="4" w:space="0" w:color="auto"/>
              <w:right w:val="single" w:sz="4" w:space="0" w:color="auto"/>
            </w:tcBorders>
            <w:vAlign w:val="center"/>
            <w:hideMark/>
          </w:tcPr>
          <w:p w14:paraId="2B58BA52"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High â€” requires permanent infrastructure, installation costs and maintenance; investment support and advisory mechanisms are needed, especially for small and medium-sized holdings (</w:t>
            </w:r>
            <w:proofErr w:type="spellStart"/>
            <w:r w:rsidRPr="00A71CA9">
              <w:rPr>
                <w:rFonts w:ascii="Times New Roman" w:eastAsia="Times New Roman" w:hAnsi="Times New Roman" w:cs="Times New Roman"/>
                <w:color w:val="000000"/>
                <w:kern w:val="0"/>
                <w14:ligatures w14:val="none"/>
              </w:rPr>
              <w:t>Aleksiev</w:t>
            </w:r>
            <w:proofErr w:type="spellEnd"/>
            <w:r w:rsidRPr="00A71CA9">
              <w:rPr>
                <w:rFonts w:ascii="Times New Roman" w:eastAsia="Times New Roman" w:hAnsi="Times New Roman" w:cs="Times New Roman"/>
                <w:color w:val="000000"/>
                <w:kern w:val="0"/>
                <w14:ligatures w14:val="none"/>
              </w:rPr>
              <w:t xml:space="preserve"> et al., 2024)</w:t>
            </w:r>
          </w:p>
        </w:tc>
        <w:tc>
          <w:tcPr>
            <w:tcW w:w="1669" w:type="dxa"/>
            <w:tcBorders>
              <w:top w:val="nil"/>
              <w:left w:val="nil"/>
              <w:bottom w:val="single" w:sz="4" w:space="0" w:color="auto"/>
              <w:right w:val="single" w:sz="4" w:space="0" w:color="auto"/>
            </w:tcBorders>
            <w:vAlign w:val="center"/>
            <w:hideMark/>
          </w:tcPr>
          <w:p w14:paraId="05F0B183" w14:textId="77777777" w:rsidR="00A71CA9" w:rsidRPr="00A71CA9" w:rsidRDefault="00A71CA9" w:rsidP="00A71CA9">
            <w:pPr>
              <w:spacing w:after="0" w:line="240" w:lineRule="auto"/>
              <w:jc w:val="center"/>
              <w:rPr>
                <w:rFonts w:ascii="Times New Roman" w:eastAsia="Times New Roman" w:hAnsi="Times New Roman" w:cs="Times New Roman"/>
                <w:color w:val="000000"/>
                <w:kern w:val="0"/>
                <w14:ligatures w14:val="none"/>
              </w:rPr>
            </w:pPr>
            <w:r w:rsidRPr="00A71CA9">
              <w:rPr>
                <w:rFonts w:ascii="Times New Roman" w:eastAsia="Times New Roman" w:hAnsi="Times New Roman" w:cs="Times New Roman"/>
                <w:color w:val="000000"/>
                <w:kern w:val="0"/>
                <w14:ligatures w14:val="none"/>
              </w:rPr>
              <w:t>Vegetable production, permanent crops and irrigated field crops; limited in non-irrigated zones; positioned as a tool for water efficiency in EU policies (</w:t>
            </w:r>
            <w:proofErr w:type="spellStart"/>
            <w:r w:rsidRPr="00A71CA9">
              <w:rPr>
                <w:rFonts w:ascii="Times New Roman" w:eastAsia="Times New Roman" w:hAnsi="Times New Roman" w:cs="Times New Roman"/>
                <w:color w:val="000000"/>
                <w:kern w:val="0"/>
                <w14:ligatures w14:val="none"/>
              </w:rPr>
              <w:t>Aleksiev</w:t>
            </w:r>
            <w:proofErr w:type="spellEnd"/>
            <w:r w:rsidRPr="00A71CA9">
              <w:rPr>
                <w:rFonts w:ascii="Times New Roman" w:eastAsia="Times New Roman" w:hAnsi="Times New Roman" w:cs="Times New Roman"/>
                <w:color w:val="000000"/>
                <w:kern w:val="0"/>
                <w14:ligatures w14:val="none"/>
              </w:rPr>
              <w:t xml:space="preserve"> et al., 2024)</w:t>
            </w:r>
          </w:p>
        </w:tc>
      </w:tr>
    </w:tbl>
    <w:p w14:paraId="423AD364" w14:textId="77777777" w:rsidR="00A71CA9" w:rsidRPr="00A71CA9" w:rsidRDefault="00A71CA9" w:rsidP="00A71CA9">
      <w:pPr>
        <w:spacing w:line="360" w:lineRule="auto"/>
        <w:ind w:firstLine="720"/>
        <w:jc w:val="center"/>
        <w:rPr>
          <w:rFonts w:ascii="Times New Roman" w:hAnsi="Times New Roman" w:cs="Times New Roman"/>
        </w:rPr>
      </w:pPr>
      <w:r w:rsidRPr="00A71CA9">
        <w:rPr>
          <w:rFonts w:ascii="Times New Roman" w:hAnsi="Times New Roman" w:cs="Times New Roman"/>
        </w:rPr>
        <w:t>Sources: Own elaboration based on: Teixeira et al. (2020); OECD (2020); European Commission (2023).</w:t>
      </w:r>
    </w:p>
    <w:p w14:paraId="5CDDB985" w14:textId="77777777" w:rsidR="00A71CA9" w:rsidRPr="00A71CA9" w:rsidRDefault="00A71CA9" w:rsidP="00A71CA9">
      <w:pPr>
        <w:spacing w:line="360" w:lineRule="auto"/>
        <w:ind w:firstLine="720"/>
        <w:jc w:val="both"/>
        <w:rPr>
          <w:rFonts w:ascii="Times New Roman" w:hAnsi="Times New Roman" w:cs="Times New Roman"/>
        </w:rPr>
      </w:pPr>
      <w:r w:rsidRPr="00A71CA9">
        <w:rPr>
          <w:rFonts w:ascii="Times New Roman" w:hAnsi="Times New Roman" w:cs="Times New Roman"/>
        </w:rPr>
        <w:t xml:space="preserve">The theoretical aspects of economic size and </w:t>
      </w:r>
      <w:proofErr w:type="spellStart"/>
      <w:r w:rsidRPr="00A71CA9">
        <w:rPr>
          <w:rFonts w:ascii="Times New Roman" w:hAnsi="Times New Roman" w:cs="Times New Roman"/>
        </w:rPr>
        <w:t>specialisation</w:t>
      </w:r>
      <w:proofErr w:type="spellEnd"/>
      <w:r w:rsidRPr="00A71CA9">
        <w:rPr>
          <w:rFonts w:ascii="Times New Roman" w:hAnsi="Times New Roman" w:cs="Times New Roman"/>
        </w:rPr>
        <w:t xml:space="preserve"> for the classification of agricultural holdings are based on the Community Typology (Regulation 85/377/EEC). The classification of agricultural holdings by size and class is presented in the following table:</w:t>
      </w:r>
    </w:p>
    <w:p w14:paraId="18EA2C26" w14:textId="77777777" w:rsidR="00A71CA9" w:rsidRDefault="00A71CA9" w:rsidP="00A71CA9">
      <w:pPr>
        <w:spacing w:line="360" w:lineRule="auto"/>
        <w:ind w:firstLine="720"/>
        <w:jc w:val="center"/>
        <w:rPr>
          <w:rFonts w:ascii="Times New Roman" w:hAnsi="Times New Roman" w:cs="Times New Roman"/>
        </w:rPr>
      </w:pPr>
      <w:r w:rsidRPr="00A71CA9">
        <w:rPr>
          <w:rFonts w:ascii="Times New Roman" w:hAnsi="Times New Roman" w:cs="Times New Roman"/>
        </w:rPr>
        <w:t>Table 4 Classification of Agricultural Holdings by Size and Class</w:t>
      </w:r>
    </w:p>
    <w:p w14:paraId="75C18AE7" w14:textId="77777777" w:rsidR="00627058" w:rsidRDefault="00627058" w:rsidP="00A71CA9">
      <w:pPr>
        <w:spacing w:line="360" w:lineRule="auto"/>
        <w:ind w:firstLine="720"/>
        <w:jc w:val="center"/>
        <w:rPr>
          <w:rFonts w:ascii="Times New Roman" w:hAnsi="Times New Roman" w:cs="Times New Roman"/>
        </w:rPr>
      </w:pPr>
    </w:p>
    <w:p w14:paraId="56C0E403" w14:textId="77777777" w:rsidR="00627058" w:rsidRDefault="00627058" w:rsidP="00A71CA9">
      <w:pPr>
        <w:spacing w:line="360" w:lineRule="auto"/>
        <w:ind w:firstLine="720"/>
        <w:jc w:val="center"/>
        <w:rPr>
          <w:rFonts w:ascii="Times New Roman" w:hAnsi="Times New Roman" w:cs="Times New Roman"/>
        </w:rPr>
      </w:pPr>
    </w:p>
    <w:tbl>
      <w:tblPr>
        <w:tblW w:w="5360" w:type="dxa"/>
        <w:jc w:val="center"/>
        <w:tblLook w:val="04A0" w:firstRow="1" w:lastRow="0" w:firstColumn="1" w:lastColumn="0" w:noHBand="0" w:noVBand="1"/>
      </w:tblPr>
      <w:tblGrid>
        <w:gridCol w:w="1620"/>
        <w:gridCol w:w="1660"/>
        <w:gridCol w:w="2080"/>
      </w:tblGrid>
      <w:tr w:rsidR="00627058" w:rsidRPr="00627058" w14:paraId="2CBB5A00" w14:textId="77777777" w:rsidTr="00627058">
        <w:trPr>
          <w:trHeight w:val="312"/>
          <w:jc w:val="center"/>
        </w:trPr>
        <w:tc>
          <w:tcPr>
            <w:tcW w:w="1620" w:type="dxa"/>
            <w:tcBorders>
              <w:top w:val="single" w:sz="4" w:space="0" w:color="auto"/>
              <w:left w:val="single" w:sz="4" w:space="0" w:color="auto"/>
              <w:bottom w:val="single" w:sz="4" w:space="0" w:color="auto"/>
              <w:right w:val="single" w:sz="4" w:space="0" w:color="auto"/>
            </w:tcBorders>
            <w:vAlign w:val="center"/>
            <w:hideMark/>
          </w:tcPr>
          <w:p w14:paraId="60EA7873"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lastRenderedPageBreak/>
              <w:t>Class</w:t>
            </w:r>
          </w:p>
        </w:tc>
        <w:tc>
          <w:tcPr>
            <w:tcW w:w="1660" w:type="dxa"/>
            <w:tcBorders>
              <w:top w:val="single" w:sz="4" w:space="0" w:color="auto"/>
              <w:left w:val="nil"/>
              <w:bottom w:val="single" w:sz="4" w:space="0" w:color="auto"/>
              <w:right w:val="single" w:sz="4" w:space="0" w:color="auto"/>
            </w:tcBorders>
            <w:vAlign w:val="center"/>
            <w:hideMark/>
          </w:tcPr>
          <w:p w14:paraId="1E1BB9E8"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Economic size</w:t>
            </w:r>
          </w:p>
        </w:tc>
        <w:tc>
          <w:tcPr>
            <w:tcW w:w="2080" w:type="dxa"/>
            <w:tcBorders>
              <w:top w:val="single" w:sz="4" w:space="0" w:color="auto"/>
              <w:left w:val="nil"/>
              <w:bottom w:val="single" w:sz="4" w:space="0" w:color="auto"/>
              <w:right w:val="single" w:sz="4" w:space="0" w:color="auto"/>
            </w:tcBorders>
            <w:vAlign w:val="center"/>
            <w:hideMark/>
          </w:tcPr>
          <w:p w14:paraId="28B7C2DD"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Threshold in EUR</w:t>
            </w:r>
          </w:p>
        </w:tc>
      </w:tr>
      <w:tr w:rsidR="00627058" w:rsidRPr="00627058" w14:paraId="0DF87602" w14:textId="77777777" w:rsidTr="00627058">
        <w:trPr>
          <w:trHeight w:val="624"/>
          <w:jc w:val="center"/>
        </w:trPr>
        <w:tc>
          <w:tcPr>
            <w:tcW w:w="1620" w:type="dxa"/>
            <w:tcBorders>
              <w:top w:val="nil"/>
              <w:left w:val="single" w:sz="4" w:space="0" w:color="auto"/>
              <w:bottom w:val="single" w:sz="4" w:space="0" w:color="auto"/>
              <w:right w:val="single" w:sz="4" w:space="0" w:color="auto"/>
            </w:tcBorders>
            <w:vAlign w:val="center"/>
            <w:hideMark/>
          </w:tcPr>
          <w:p w14:paraId="2A7870F1"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I</w:t>
            </w:r>
          </w:p>
        </w:tc>
        <w:tc>
          <w:tcPr>
            <w:tcW w:w="1660" w:type="dxa"/>
            <w:tcBorders>
              <w:top w:val="nil"/>
              <w:left w:val="nil"/>
              <w:bottom w:val="single" w:sz="4" w:space="0" w:color="auto"/>
              <w:right w:val="single" w:sz="4" w:space="0" w:color="auto"/>
            </w:tcBorders>
            <w:vAlign w:val="center"/>
            <w:hideMark/>
          </w:tcPr>
          <w:p w14:paraId="69919734"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Very small holdings</w:t>
            </w:r>
          </w:p>
        </w:tc>
        <w:tc>
          <w:tcPr>
            <w:tcW w:w="2080" w:type="dxa"/>
            <w:tcBorders>
              <w:top w:val="nil"/>
              <w:left w:val="nil"/>
              <w:bottom w:val="single" w:sz="4" w:space="0" w:color="auto"/>
              <w:right w:val="single" w:sz="4" w:space="0" w:color="auto"/>
            </w:tcBorders>
            <w:vAlign w:val="center"/>
            <w:hideMark/>
          </w:tcPr>
          <w:p w14:paraId="116294F0"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2,000 - &lt; 8,000 EUR</w:t>
            </w:r>
          </w:p>
        </w:tc>
      </w:tr>
      <w:tr w:rsidR="00627058" w:rsidRPr="00627058" w14:paraId="207F7FA7" w14:textId="77777777" w:rsidTr="00627058">
        <w:trPr>
          <w:trHeight w:val="624"/>
          <w:jc w:val="center"/>
        </w:trPr>
        <w:tc>
          <w:tcPr>
            <w:tcW w:w="1620" w:type="dxa"/>
            <w:tcBorders>
              <w:top w:val="nil"/>
              <w:left w:val="single" w:sz="4" w:space="0" w:color="auto"/>
              <w:bottom w:val="single" w:sz="4" w:space="0" w:color="auto"/>
              <w:right w:val="single" w:sz="4" w:space="0" w:color="auto"/>
            </w:tcBorders>
            <w:vAlign w:val="center"/>
            <w:hideMark/>
          </w:tcPr>
          <w:p w14:paraId="0FD3F4C2"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II</w:t>
            </w:r>
          </w:p>
        </w:tc>
        <w:tc>
          <w:tcPr>
            <w:tcW w:w="1660" w:type="dxa"/>
            <w:tcBorders>
              <w:top w:val="nil"/>
              <w:left w:val="nil"/>
              <w:bottom w:val="single" w:sz="4" w:space="0" w:color="auto"/>
              <w:right w:val="single" w:sz="4" w:space="0" w:color="auto"/>
            </w:tcBorders>
            <w:vAlign w:val="center"/>
            <w:hideMark/>
          </w:tcPr>
          <w:p w14:paraId="51617BA2"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Small holdings</w:t>
            </w:r>
          </w:p>
        </w:tc>
        <w:tc>
          <w:tcPr>
            <w:tcW w:w="2080" w:type="dxa"/>
            <w:tcBorders>
              <w:top w:val="nil"/>
              <w:left w:val="nil"/>
              <w:bottom w:val="single" w:sz="4" w:space="0" w:color="auto"/>
              <w:right w:val="single" w:sz="4" w:space="0" w:color="auto"/>
            </w:tcBorders>
            <w:vAlign w:val="center"/>
            <w:hideMark/>
          </w:tcPr>
          <w:p w14:paraId="23D0E8CB"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8,000 - &lt; 25,000 EUR</w:t>
            </w:r>
          </w:p>
        </w:tc>
      </w:tr>
      <w:tr w:rsidR="00627058" w:rsidRPr="00627058" w14:paraId="3751C5AD" w14:textId="77777777" w:rsidTr="00627058">
        <w:trPr>
          <w:trHeight w:val="624"/>
          <w:jc w:val="center"/>
        </w:trPr>
        <w:tc>
          <w:tcPr>
            <w:tcW w:w="1620" w:type="dxa"/>
            <w:tcBorders>
              <w:top w:val="nil"/>
              <w:left w:val="single" w:sz="4" w:space="0" w:color="auto"/>
              <w:bottom w:val="single" w:sz="4" w:space="0" w:color="auto"/>
              <w:right w:val="single" w:sz="4" w:space="0" w:color="auto"/>
            </w:tcBorders>
            <w:vAlign w:val="center"/>
            <w:hideMark/>
          </w:tcPr>
          <w:p w14:paraId="5650DD38"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III</w:t>
            </w:r>
          </w:p>
        </w:tc>
        <w:tc>
          <w:tcPr>
            <w:tcW w:w="1660" w:type="dxa"/>
            <w:tcBorders>
              <w:top w:val="nil"/>
              <w:left w:val="nil"/>
              <w:bottom w:val="single" w:sz="4" w:space="0" w:color="auto"/>
              <w:right w:val="single" w:sz="4" w:space="0" w:color="auto"/>
            </w:tcBorders>
            <w:vAlign w:val="center"/>
            <w:hideMark/>
          </w:tcPr>
          <w:p w14:paraId="774385FB"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Medium holdings</w:t>
            </w:r>
          </w:p>
        </w:tc>
        <w:tc>
          <w:tcPr>
            <w:tcW w:w="2080" w:type="dxa"/>
            <w:tcBorders>
              <w:top w:val="nil"/>
              <w:left w:val="nil"/>
              <w:bottom w:val="single" w:sz="4" w:space="0" w:color="auto"/>
              <w:right w:val="single" w:sz="4" w:space="0" w:color="auto"/>
            </w:tcBorders>
            <w:vAlign w:val="center"/>
            <w:hideMark/>
          </w:tcPr>
          <w:p w14:paraId="7477E9D0"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25,000 - &lt; 50,000 EUR</w:t>
            </w:r>
          </w:p>
        </w:tc>
      </w:tr>
      <w:tr w:rsidR="00627058" w:rsidRPr="00627058" w14:paraId="3DEE684F" w14:textId="77777777" w:rsidTr="00627058">
        <w:trPr>
          <w:trHeight w:val="624"/>
          <w:jc w:val="center"/>
        </w:trPr>
        <w:tc>
          <w:tcPr>
            <w:tcW w:w="1620" w:type="dxa"/>
            <w:tcBorders>
              <w:top w:val="nil"/>
              <w:left w:val="single" w:sz="4" w:space="0" w:color="auto"/>
              <w:bottom w:val="single" w:sz="4" w:space="0" w:color="auto"/>
              <w:right w:val="single" w:sz="4" w:space="0" w:color="auto"/>
            </w:tcBorders>
            <w:vAlign w:val="center"/>
            <w:hideMark/>
          </w:tcPr>
          <w:p w14:paraId="57195417"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IV</w:t>
            </w:r>
          </w:p>
        </w:tc>
        <w:tc>
          <w:tcPr>
            <w:tcW w:w="1660" w:type="dxa"/>
            <w:tcBorders>
              <w:top w:val="nil"/>
              <w:left w:val="nil"/>
              <w:bottom w:val="single" w:sz="4" w:space="0" w:color="auto"/>
              <w:right w:val="single" w:sz="4" w:space="0" w:color="auto"/>
            </w:tcBorders>
            <w:vAlign w:val="center"/>
            <w:hideMark/>
          </w:tcPr>
          <w:p w14:paraId="01BBD2D2"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Large holdings</w:t>
            </w:r>
          </w:p>
        </w:tc>
        <w:tc>
          <w:tcPr>
            <w:tcW w:w="2080" w:type="dxa"/>
            <w:tcBorders>
              <w:top w:val="nil"/>
              <w:left w:val="nil"/>
              <w:bottom w:val="single" w:sz="4" w:space="0" w:color="auto"/>
              <w:right w:val="single" w:sz="4" w:space="0" w:color="auto"/>
            </w:tcBorders>
            <w:vAlign w:val="center"/>
            <w:hideMark/>
          </w:tcPr>
          <w:p w14:paraId="1D937B50"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50,000 - &lt; 100,000 EUR</w:t>
            </w:r>
          </w:p>
        </w:tc>
      </w:tr>
      <w:tr w:rsidR="00627058" w:rsidRPr="00627058" w14:paraId="3AAA50A8" w14:textId="77777777" w:rsidTr="00627058">
        <w:trPr>
          <w:trHeight w:val="624"/>
          <w:jc w:val="center"/>
        </w:trPr>
        <w:tc>
          <w:tcPr>
            <w:tcW w:w="1620" w:type="dxa"/>
            <w:tcBorders>
              <w:top w:val="nil"/>
              <w:left w:val="single" w:sz="4" w:space="0" w:color="auto"/>
              <w:bottom w:val="single" w:sz="4" w:space="0" w:color="auto"/>
              <w:right w:val="single" w:sz="4" w:space="0" w:color="auto"/>
            </w:tcBorders>
            <w:vAlign w:val="center"/>
            <w:hideMark/>
          </w:tcPr>
          <w:p w14:paraId="7E246AAC"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V</w:t>
            </w:r>
          </w:p>
        </w:tc>
        <w:tc>
          <w:tcPr>
            <w:tcW w:w="1660" w:type="dxa"/>
            <w:tcBorders>
              <w:top w:val="nil"/>
              <w:left w:val="nil"/>
              <w:bottom w:val="single" w:sz="4" w:space="0" w:color="auto"/>
              <w:right w:val="single" w:sz="4" w:space="0" w:color="auto"/>
            </w:tcBorders>
            <w:vAlign w:val="center"/>
            <w:hideMark/>
          </w:tcPr>
          <w:p w14:paraId="561D4FBB"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Very large holdings</w:t>
            </w:r>
          </w:p>
        </w:tc>
        <w:tc>
          <w:tcPr>
            <w:tcW w:w="2080" w:type="dxa"/>
            <w:tcBorders>
              <w:top w:val="nil"/>
              <w:left w:val="nil"/>
              <w:bottom w:val="single" w:sz="4" w:space="0" w:color="auto"/>
              <w:right w:val="single" w:sz="4" w:space="0" w:color="auto"/>
            </w:tcBorders>
            <w:vAlign w:val="center"/>
            <w:hideMark/>
          </w:tcPr>
          <w:p w14:paraId="3D888D87"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100,000 - &lt; 500,000 EUR</w:t>
            </w:r>
          </w:p>
        </w:tc>
      </w:tr>
      <w:tr w:rsidR="00627058" w:rsidRPr="00627058" w14:paraId="5D32F2DB" w14:textId="77777777" w:rsidTr="00627058">
        <w:trPr>
          <w:trHeight w:val="936"/>
          <w:jc w:val="center"/>
        </w:trPr>
        <w:tc>
          <w:tcPr>
            <w:tcW w:w="1620" w:type="dxa"/>
            <w:tcBorders>
              <w:top w:val="nil"/>
              <w:left w:val="single" w:sz="4" w:space="0" w:color="auto"/>
              <w:bottom w:val="single" w:sz="4" w:space="0" w:color="auto"/>
              <w:right w:val="single" w:sz="4" w:space="0" w:color="auto"/>
            </w:tcBorders>
            <w:vAlign w:val="center"/>
            <w:hideMark/>
          </w:tcPr>
          <w:p w14:paraId="32E503FD"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VI</w:t>
            </w:r>
          </w:p>
        </w:tc>
        <w:tc>
          <w:tcPr>
            <w:tcW w:w="1660" w:type="dxa"/>
            <w:tcBorders>
              <w:top w:val="nil"/>
              <w:left w:val="nil"/>
              <w:bottom w:val="single" w:sz="4" w:space="0" w:color="auto"/>
              <w:right w:val="single" w:sz="4" w:space="0" w:color="auto"/>
            </w:tcBorders>
            <w:vAlign w:val="center"/>
            <w:hideMark/>
          </w:tcPr>
          <w:p w14:paraId="16D6DB47"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Industrial agricultural holdings</w:t>
            </w:r>
          </w:p>
        </w:tc>
        <w:tc>
          <w:tcPr>
            <w:tcW w:w="2080" w:type="dxa"/>
            <w:tcBorders>
              <w:top w:val="nil"/>
              <w:left w:val="nil"/>
              <w:bottom w:val="single" w:sz="4" w:space="0" w:color="auto"/>
              <w:right w:val="single" w:sz="4" w:space="0" w:color="auto"/>
            </w:tcBorders>
            <w:vAlign w:val="center"/>
            <w:hideMark/>
          </w:tcPr>
          <w:p w14:paraId="4BA6E884"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&gt;= 500,000 EUR</w:t>
            </w:r>
          </w:p>
        </w:tc>
      </w:tr>
    </w:tbl>
    <w:p w14:paraId="3A7B8F68" w14:textId="6B0543DC" w:rsidR="00627058" w:rsidRDefault="00627058" w:rsidP="00A71CA9">
      <w:pPr>
        <w:spacing w:line="360" w:lineRule="auto"/>
        <w:ind w:firstLine="720"/>
        <w:jc w:val="center"/>
        <w:rPr>
          <w:rFonts w:ascii="Times New Roman" w:hAnsi="Times New Roman" w:cs="Times New Roman"/>
        </w:rPr>
      </w:pPr>
      <w:r w:rsidRPr="00627058">
        <w:rPr>
          <w:rFonts w:ascii="Times New Roman" w:hAnsi="Times New Roman" w:cs="Times New Roman"/>
        </w:rPr>
        <w:t>Source: Own scheme, adapted from FADN</w:t>
      </w:r>
    </w:p>
    <w:p w14:paraId="1F3394A7" w14:textId="77777777" w:rsidR="00627058" w:rsidRPr="00627058" w:rsidRDefault="00627058" w:rsidP="00627058">
      <w:pPr>
        <w:spacing w:line="360" w:lineRule="auto"/>
        <w:ind w:firstLine="720"/>
        <w:jc w:val="both"/>
        <w:rPr>
          <w:rFonts w:ascii="Times New Roman" w:hAnsi="Times New Roman" w:cs="Times New Roman"/>
        </w:rPr>
      </w:pPr>
      <w:r w:rsidRPr="00627058">
        <w:rPr>
          <w:rFonts w:ascii="Times New Roman" w:hAnsi="Times New Roman" w:cs="Times New Roman"/>
        </w:rPr>
        <w:t>Specialization based on the type of farming codes (TF) is systematized in the following table:</w:t>
      </w:r>
    </w:p>
    <w:p w14:paraId="18DA97C6" w14:textId="77777777" w:rsidR="00627058" w:rsidRDefault="00627058" w:rsidP="00627058">
      <w:pPr>
        <w:spacing w:line="360" w:lineRule="auto"/>
        <w:ind w:firstLine="720"/>
        <w:jc w:val="center"/>
        <w:rPr>
          <w:rFonts w:ascii="Times New Roman" w:hAnsi="Times New Roman" w:cs="Times New Roman"/>
          <w:lang w:val="bg-BG"/>
        </w:rPr>
      </w:pPr>
      <w:r w:rsidRPr="00627058">
        <w:rPr>
          <w:rFonts w:ascii="Times New Roman" w:hAnsi="Times New Roman" w:cs="Times New Roman"/>
        </w:rPr>
        <w:t>Table 5: Specialization based on the type of farming codes (TF) within the framework of the Community Typology (Regulation 85/377/EEC)</w:t>
      </w:r>
    </w:p>
    <w:tbl>
      <w:tblPr>
        <w:tblW w:w="9100" w:type="dxa"/>
        <w:tblLook w:val="04A0" w:firstRow="1" w:lastRow="0" w:firstColumn="1" w:lastColumn="0" w:noHBand="0" w:noVBand="1"/>
      </w:tblPr>
      <w:tblGrid>
        <w:gridCol w:w="2240"/>
        <w:gridCol w:w="6860"/>
      </w:tblGrid>
      <w:tr w:rsidR="00627058" w:rsidRPr="00627058" w14:paraId="52683CB7" w14:textId="77777777" w:rsidTr="00627058">
        <w:trPr>
          <w:trHeight w:val="912"/>
        </w:trPr>
        <w:tc>
          <w:tcPr>
            <w:tcW w:w="2240" w:type="dxa"/>
            <w:tcBorders>
              <w:top w:val="single" w:sz="4" w:space="0" w:color="auto"/>
              <w:left w:val="single" w:sz="4" w:space="0" w:color="auto"/>
              <w:bottom w:val="single" w:sz="4" w:space="0" w:color="auto"/>
              <w:right w:val="single" w:sz="4" w:space="0" w:color="auto"/>
            </w:tcBorders>
            <w:vAlign w:val="center"/>
            <w:hideMark/>
          </w:tcPr>
          <w:p w14:paraId="7BA33874"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Description</w:t>
            </w:r>
          </w:p>
        </w:tc>
        <w:tc>
          <w:tcPr>
            <w:tcW w:w="6860" w:type="dxa"/>
            <w:tcBorders>
              <w:top w:val="single" w:sz="4" w:space="0" w:color="auto"/>
              <w:left w:val="nil"/>
              <w:bottom w:val="single" w:sz="4" w:space="0" w:color="auto"/>
              <w:right w:val="single" w:sz="4" w:space="0" w:color="auto"/>
            </w:tcBorders>
            <w:vAlign w:val="center"/>
            <w:hideMark/>
          </w:tcPr>
          <w:p w14:paraId="3FB9B52C"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Grouping of types of farming (TF) based on the main types of agricultural activity</w:t>
            </w:r>
          </w:p>
        </w:tc>
      </w:tr>
      <w:tr w:rsidR="00627058" w:rsidRPr="00627058" w14:paraId="552D6C7C" w14:textId="77777777" w:rsidTr="00627058">
        <w:trPr>
          <w:trHeight w:val="924"/>
        </w:trPr>
        <w:tc>
          <w:tcPr>
            <w:tcW w:w="2240" w:type="dxa"/>
            <w:tcBorders>
              <w:top w:val="nil"/>
              <w:left w:val="single" w:sz="4" w:space="0" w:color="auto"/>
              <w:bottom w:val="single" w:sz="4" w:space="0" w:color="auto"/>
              <w:right w:val="single" w:sz="4" w:space="0" w:color="auto"/>
            </w:tcBorders>
            <w:vAlign w:val="center"/>
            <w:hideMark/>
          </w:tcPr>
          <w:p w14:paraId="03EE0942"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Field Crops</w:t>
            </w:r>
          </w:p>
        </w:tc>
        <w:tc>
          <w:tcPr>
            <w:tcW w:w="6860" w:type="dxa"/>
            <w:tcBorders>
              <w:top w:val="nil"/>
              <w:left w:val="nil"/>
              <w:bottom w:val="single" w:sz="4" w:space="0" w:color="auto"/>
              <w:right w:val="single" w:sz="4" w:space="0" w:color="auto"/>
            </w:tcBorders>
            <w:vAlign w:val="center"/>
            <w:hideMark/>
          </w:tcPr>
          <w:p w14:paraId="5DE5D51C"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holdings specialized in the cultivation of cereals, oilseeds, and protein crops, as well as those with mixed field crops.</w:t>
            </w:r>
          </w:p>
        </w:tc>
      </w:tr>
      <w:tr w:rsidR="00627058" w:rsidRPr="00627058" w14:paraId="639D833D" w14:textId="77777777" w:rsidTr="00627058">
        <w:trPr>
          <w:trHeight w:val="1068"/>
        </w:trPr>
        <w:tc>
          <w:tcPr>
            <w:tcW w:w="2240" w:type="dxa"/>
            <w:tcBorders>
              <w:top w:val="nil"/>
              <w:left w:val="single" w:sz="4" w:space="0" w:color="auto"/>
              <w:bottom w:val="single" w:sz="4" w:space="0" w:color="auto"/>
              <w:right w:val="single" w:sz="4" w:space="0" w:color="auto"/>
            </w:tcBorders>
            <w:vAlign w:val="center"/>
            <w:hideMark/>
          </w:tcPr>
          <w:p w14:paraId="4AA7BEAB"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Horticulture</w:t>
            </w:r>
          </w:p>
        </w:tc>
        <w:tc>
          <w:tcPr>
            <w:tcW w:w="6860" w:type="dxa"/>
            <w:tcBorders>
              <w:top w:val="nil"/>
              <w:left w:val="nil"/>
              <w:bottom w:val="single" w:sz="4" w:space="0" w:color="auto"/>
              <w:right w:val="single" w:sz="4" w:space="0" w:color="auto"/>
            </w:tcBorders>
            <w:vAlign w:val="center"/>
            <w:hideMark/>
          </w:tcPr>
          <w:p w14:paraId="204A75FF"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holdings specialized in intensive production of vegetables, flowers, and ornamental plants, which often use greenhouses and irrigation technologies.</w:t>
            </w:r>
          </w:p>
        </w:tc>
      </w:tr>
      <w:tr w:rsidR="00627058" w:rsidRPr="00627058" w14:paraId="0ED2DC76" w14:textId="77777777" w:rsidTr="00627058">
        <w:trPr>
          <w:trHeight w:val="924"/>
        </w:trPr>
        <w:tc>
          <w:tcPr>
            <w:tcW w:w="2240" w:type="dxa"/>
            <w:tcBorders>
              <w:top w:val="nil"/>
              <w:left w:val="single" w:sz="4" w:space="0" w:color="auto"/>
              <w:bottom w:val="single" w:sz="4" w:space="0" w:color="auto"/>
              <w:right w:val="single" w:sz="4" w:space="0" w:color="auto"/>
            </w:tcBorders>
            <w:vAlign w:val="center"/>
            <w:hideMark/>
          </w:tcPr>
          <w:p w14:paraId="2CC09F91"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Wine</w:t>
            </w:r>
          </w:p>
        </w:tc>
        <w:tc>
          <w:tcPr>
            <w:tcW w:w="6860" w:type="dxa"/>
            <w:tcBorders>
              <w:top w:val="nil"/>
              <w:left w:val="nil"/>
              <w:bottom w:val="single" w:sz="4" w:space="0" w:color="auto"/>
              <w:right w:val="single" w:sz="4" w:space="0" w:color="auto"/>
            </w:tcBorders>
            <w:vAlign w:val="center"/>
            <w:hideMark/>
          </w:tcPr>
          <w:p w14:paraId="74B6406F"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holdings specialized in the cultivation of vineyards and the production of wine.</w:t>
            </w:r>
          </w:p>
        </w:tc>
      </w:tr>
      <w:tr w:rsidR="00627058" w:rsidRPr="00627058" w14:paraId="3BF19398" w14:textId="77777777" w:rsidTr="00627058">
        <w:trPr>
          <w:trHeight w:val="912"/>
        </w:trPr>
        <w:tc>
          <w:tcPr>
            <w:tcW w:w="2240" w:type="dxa"/>
            <w:tcBorders>
              <w:top w:val="nil"/>
              <w:left w:val="single" w:sz="4" w:space="0" w:color="auto"/>
              <w:bottom w:val="single" w:sz="4" w:space="0" w:color="auto"/>
              <w:right w:val="single" w:sz="4" w:space="0" w:color="auto"/>
            </w:tcBorders>
            <w:vAlign w:val="center"/>
            <w:hideMark/>
          </w:tcPr>
          <w:p w14:paraId="4A605157"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Other Permanent Crops</w:t>
            </w:r>
          </w:p>
        </w:tc>
        <w:tc>
          <w:tcPr>
            <w:tcW w:w="6860" w:type="dxa"/>
            <w:tcBorders>
              <w:top w:val="nil"/>
              <w:left w:val="nil"/>
              <w:bottom w:val="single" w:sz="4" w:space="0" w:color="auto"/>
              <w:right w:val="single" w:sz="4" w:space="0" w:color="auto"/>
            </w:tcBorders>
            <w:vAlign w:val="center"/>
            <w:hideMark/>
          </w:tcPr>
          <w:p w14:paraId="6C1D5277"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holdings that focus on permanent crops, such as orchards, citrus fruits, and olive groves.</w:t>
            </w:r>
          </w:p>
        </w:tc>
      </w:tr>
      <w:tr w:rsidR="00627058" w:rsidRPr="00627058" w14:paraId="481DFA9F" w14:textId="77777777" w:rsidTr="00627058">
        <w:trPr>
          <w:trHeight w:val="1032"/>
        </w:trPr>
        <w:tc>
          <w:tcPr>
            <w:tcW w:w="2240" w:type="dxa"/>
            <w:tcBorders>
              <w:top w:val="nil"/>
              <w:left w:val="single" w:sz="4" w:space="0" w:color="auto"/>
              <w:bottom w:val="single" w:sz="4" w:space="0" w:color="auto"/>
              <w:right w:val="single" w:sz="4" w:space="0" w:color="auto"/>
            </w:tcBorders>
            <w:vAlign w:val="center"/>
            <w:hideMark/>
          </w:tcPr>
          <w:p w14:paraId="3DB80B81"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lastRenderedPageBreak/>
              <w:t>Milk</w:t>
            </w:r>
          </w:p>
        </w:tc>
        <w:tc>
          <w:tcPr>
            <w:tcW w:w="6860" w:type="dxa"/>
            <w:tcBorders>
              <w:top w:val="nil"/>
              <w:left w:val="nil"/>
              <w:bottom w:val="single" w:sz="4" w:space="0" w:color="auto"/>
              <w:right w:val="single" w:sz="4" w:space="0" w:color="auto"/>
            </w:tcBorders>
            <w:vAlign w:val="center"/>
            <w:hideMark/>
          </w:tcPr>
          <w:p w14:paraId="589E332C"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holdings that focus on the production of milk from cows, goats, or sheep.</w:t>
            </w:r>
          </w:p>
        </w:tc>
      </w:tr>
      <w:tr w:rsidR="00627058" w:rsidRPr="00627058" w14:paraId="72387496" w14:textId="77777777" w:rsidTr="00627058">
        <w:trPr>
          <w:trHeight w:val="924"/>
        </w:trPr>
        <w:tc>
          <w:tcPr>
            <w:tcW w:w="2240" w:type="dxa"/>
            <w:tcBorders>
              <w:top w:val="nil"/>
              <w:left w:val="single" w:sz="4" w:space="0" w:color="auto"/>
              <w:bottom w:val="single" w:sz="4" w:space="0" w:color="auto"/>
              <w:right w:val="single" w:sz="4" w:space="0" w:color="auto"/>
            </w:tcBorders>
            <w:vAlign w:val="center"/>
            <w:hideMark/>
          </w:tcPr>
          <w:p w14:paraId="41248538"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Other Grazing Livestock</w:t>
            </w:r>
          </w:p>
        </w:tc>
        <w:tc>
          <w:tcPr>
            <w:tcW w:w="6860" w:type="dxa"/>
            <w:tcBorders>
              <w:top w:val="nil"/>
              <w:left w:val="nil"/>
              <w:bottom w:val="single" w:sz="4" w:space="0" w:color="auto"/>
              <w:right w:val="single" w:sz="4" w:space="0" w:color="auto"/>
            </w:tcBorders>
            <w:vAlign w:val="center"/>
            <w:hideMark/>
          </w:tcPr>
          <w:p w14:paraId="31179EEB"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holdings specialized in the rearing of grazing livestock such as cattle, sheep, and goats.</w:t>
            </w:r>
          </w:p>
        </w:tc>
      </w:tr>
      <w:tr w:rsidR="00627058" w:rsidRPr="00627058" w14:paraId="047FA882" w14:textId="77777777" w:rsidTr="00627058">
        <w:trPr>
          <w:trHeight w:val="960"/>
        </w:trPr>
        <w:tc>
          <w:tcPr>
            <w:tcW w:w="2240" w:type="dxa"/>
            <w:tcBorders>
              <w:top w:val="nil"/>
              <w:left w:val="single" w:sz="4" w:space="0" w:color="auto"/>
              <w:bottom w:val="single" w:sz="4" w:space="0" w:color="auto"/>
              <w:right w:val="single" w:sz="4" w:space="0" w:color="auto"/>
            </w:tcBorders>
            <w:vAlign w:val="center"/>
            <w:hideMark/>
          </w:tcPr>
          <w:p w14:paraId="7ADD88D0"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Intensive Livestock (Granivores – Pigs and Poultry)</w:t>
            </w:r>
          </w:p>
        </w:tc>
        <w:tc>
          <w:tcPr>
            <w:tcW w:w="6860" w:type="dxa"/>
            <w:tcBorders>
              <w:top w:val="nil"/>
              <w:left w:val="nil"/>
              <w:bottom w:val="single" w:sz="4" w:space="0" w:color="auto"/>
              <w:right w:val="single" w:sz="4" w:space="0" w:color="auto"/>
            </w:tcBorders>
            <w:vAlign w:val="center"/>
            <w:hideMark/>
          </w:tcPr>
          <w:p w14:paraId="1FD68A2D"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holdings that are specialized in the intensive rearing of pigs and poultry.</w:t>
            </w:r>
          </w:p>
        </w:tc>
      </w:tr>
      <w:tr w:rsidR="00627058" w:rsidRPr="00627058" w14:paraId="61576EAF" w14:textId="77777777" w:rsidTr="00627058">
        <w:trPr>
          <w:trHeight w:val="1296"/>
        </w:trPr>
        <w:tc>
          <w:tcPr>
            <w:tcW w:w="2240" w:type="dxa"/>
            <w:tcBorders>
              <w:top w:val="nil"/>
              <w:left w:val="single" w:sz="4" w:space="0" w:color="auto"/>
              <w:bottom w:val="single" w:sz="4" w:space="0" w:color="auto"/>
              <w:right w:val="single" w:sz="4" w:space="0" w:color="auto"/>
            </w:tcBorders>
            <w:vAlign w:val="center"/>
            <w:hideMark/>
          </w:tcPr>
          <w:p w14:paraId="307033A2"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Mixed Farming</w:t>
            </w:r>
          </w:p>
        </w:tc>
        <w:tc>
          <w:tcPr>
            <w:tcW w:w="6860" w:type="dxa"/>
            <w:tcBorders>
              <w:top w:val="nil"/>
              <w:left w:val="nil"/>
              <w:bottom w:val="single" w:sz="4" w:space="0" w:color="auto"/>
              <w:right w:val="single" w:sz="4" w:space="0" w:color="auto"/>
            </w:tcBorders>
            <w:vAlign w:val="center"/>
            <w:hideMark/>
          </w:tcPr>
          <w:p w14:paraId="5B798E5D"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holdings combining different types of livestock and crop production.</w:t>
            </w:r>
          </w:p>
        </w:tc>
      </w:tr>
    </w:tbl>
    <w:p w14:paraId="14D5AC11" w14:textId="6C31392E" w:rsidR="00627058" w:rsidRDefault="00627058" w:rsidP="00627058">
      <w:pPr>
        <w:spacing w:line="360" w:lineRule="auto"/>
        <w:ind w:firstLine="720"/>
        <w:jc w:val="center"/>
        <w:rPr>
          <w:rFonts w:ascii="Times New Roman" w:hAnsi="Times New Roman" w:cs="Times New Roman"/>
        </w:rPr>
      </w:pPr>
      <w:r w:rsidRPr="00627058">
        <w:rPr>
          <w:rFonts w:ascii="Times New Roman" w:hAnsi="Times New Roman" w:cs="Times New Roman"/>
        </w:rPr>
        <w:t>Source: own scheme, adapted from Regulation 85/377/EEC</w:t>
      </w:r>
    </w:p>
    <w:p w14:paraId="6DC72C48" w14:textId="6E3D4E0A" w:rsidR="00627058" w:rsidRDefault="00627058" w:rsidP="00627058">
      <w:pPr>
        <w:spacing w:line="360" w:lineRule="auto"/>
        <w:jc w:val="both"/>
        <w:rPr>
          <w:rFonts w:ascii="Times New Roman" w:hAnsi="Times New Roman" w:cs="Times New Roman"/>
          <w:b/>
          <w:bCs/>
        </w:rPr>
      </w:pPr>
      <w:r w:rsidRPr="00627058">
        <w:rPr>
          <w:rFonts w:ascii="Times New Roman" w:hAnsi="Times New Roman" w:cs="Times New Roman"/>
          <w:b/>
          <w:bCs/>
        </w:rPr>
        <w:t>Theoretical Foundations of Economic and Environmental Efficiency of Agricultural Holdings</w:t>
      </w:r>
    </w:p>
    <w:p w14:paraId="5217FE11" w14:textId="77777777" w:rsidR="00627058" w:rsidRPr="00627058" w:rsidRDefault="00627058" w:rsidP="00627058">
      <w:pPr>
        <w:spacing w:line="360" w:lineRule="auto"/>
        <w:ind w:firstLine="720"/>
        <w:jc w:val="both"/>
        <w:rPr>
          <w:rFonts w:ascii="Times New Roman" w:hAnsi="Times New Roman" w:cs="Times New Roman"/>
        </w:rPr>
      </w:pPr>
      <w:r w:rsidRPr="00627058">
        <w:rPr>
          <w:rFonts w:ascii="Times New Roman" w:hAnsi="Times New Roman" w:cs="Times New Roman"/>
        </w:rPr>
        <w:t>In the conditions of intensifying climate change, limited raw materials, and increasing sustainability requirements, the ability of agricultural holdings to achieve optimal results through the rational use of resources acquires fundamental importance. In the dissertation, efficiency is considered a complex characteristic that reflects the interaction between economic, environmental, and managerial factors. Economic efficiency is defined as the ratio between the value of the produced product and the costs of its production. This definition allows for an assessment of how effectively the holding converts input resources (land, labor, capital, materials) into high-value final output. In the context of modern agriculture, economic efficiency takes on particular importance, as it determines the competitiveness of holdings, their profitability, and their ability to generate income for owners and employees. The dissertation emphasizes that economic efficiency is a dynamic indicator that depends on numerous internal and external factors, including applied production practices, the level of technological development, and market conditions.</w:t>
      </w:r>
    </w:p>
    <w:p w14:paraId="7D7AB574" w14:textId="77777777" w:rsidR="00627058" w:rsidRPr="00627058" w:rsidRDefault="00627058" w:rsidP="00627058">
      <w:pPr>
        <w:spacing w:line="360" w:lineRule="auto"/>
        <w:jc w:val="both"/>
        <w:rPr>
          <w:rFonts w:ascii="Times New Roman" w:hAnsi="Times New Roman" w:cs="Times New Roman"/>
        </w:rPr>
      </w:pPr>
      <w:r w:rsidRPr="00627058">
        <w:rPr>
          <w:rFonts w:ascii="Times New Roman" w:hAnsi="Times New Roman" w:cs="Times New Roman"/>
        </w:rPr>
        <w:t xml:space="preserve">Environmental efficiency (eco-efficiency) is defined as the ratio between economic output and the environmental pressure caused by production activity. This definition reflects the modern pursuit of sustainable development, where economic growth must be achieved with minimal negative impact on the environment. In the context of this work, environmental efficiency is viewed as an indicator for assessing the sustainability of agricultural holdings, especially in the context of the </w:t>
      </w:r>
      <w:r w:rsidRPr="00627058">
        <w:rPr>
          <w:rFonts w:ascii="Times New Roman" w:hAnsi="Times New Roman" w:cs="Times New Roman"/>
        </w:rPr>
        <w:lastRenderedPageBreak/>
        <w:t>Green Deal. These definitions and formulas form the theoretical foundation of the dissertation research. They allow for both an analysis of the current state of efficiency of Bulgarian agricultural holdings and an assessment of the impact of various sustainable practices on increasing economic results while simultaneously reducing environmental pressure. It is through this integrated approach that the research seeks to respond to the challenges that the Green Deal poses to Bulgarian agriculture and to propose scientifically grounded guidelines for the adaptation of holdings to the new requirements.</w:t>
      </w:r>
    </w:p>
    <w:p w14:paraId="679016D4" w14:textId="77777777" w:rsidR="00627058" w:rsidRPr="00627058" w:rsidRDefault="00627058" w:rsidP="00627058">
      <w:pPr>
        <w:spacing w:line="360" w:lineRule="auto"/>
        <w:jc w:val="both"/>
        <w:rPr>
          <w:rFonts w:ascii="Times New Roman" w:hAnsi="Times New Roman" w:cs="Times New Roman"/>
          <w:b/>
          <w:bCs/>
        </w:rPr>
      </w:pPr>
      <w:r w:rsidRPr="00627058">
        <w:rPr>
          <w:rFonts w:ascii="Times New Roman" w:hAnsi="Times New Roman" w:cs="Times New Roman"/>
          <w:b/>
          <w:bCs/>
        </w:rPr>
        <w:t>Conclusions from Chapter One:</w:t>
      </w:r>
    </w:p>
    <w:p w14:paraId="1DC8AE3E" w14:textId="77777777" w:rsidR="00627058" w:rsidRDefault="00627058" w:rsidP="00627058">
      <w:pPr>
        <w:spacing w:line="360" w:lineRule="auto"/>
        <w:ind w:firstLine="720"/>
        <w:jc w:val="both"/>
        <w:rPr>
          <w:rFonts w:ascii="Times New Roman" w:hAnsi="Times New Roman" w:cs="Times New Roman"/>
        </w:rPr>
      </w:pPr>
      <w:r w:rsidRPr="00627058">
        <w:rPr>
          <w:rFonts w:ascii="Times New Roman" w:hAnsi="Times New Roman" w:cs="Times New Roman"/>
        </w:rPr>
        <w:t>The first chapter of the dissertation builds the theoretical and conceptual foundation for investigating the economic and environmental efficiency of agricultural holdings under the conditions of the Green Deal. The historical review of economic theories shows the evolution of the understanding of the role of land – from the classical concept of rent to modern models of sustainable development. The Green Deal is viewed as a paradigm that places economic and environmental efficiency at the center of the future development of European agriculture.</w:t>
      </w:r>
    </w:p>
    <w:p w14:paraId="00520AB4" w14:textId="77777777" w:rsidR="00627058" w:rsidRPr="00507102" w:rsidRDefault="00627058" w:rsidP="00507102">
      <w:pPr>
        <w:pStyle w:val="Heading2"/>
        <w:rPr>
          <w:rFonts w:ascii="Times New Roman" w:hAnsi="Times New Roman" w:cs="Times New Roman"/>
          <w:b/>
          <w:bCs/>
          <w:color w:val="auto"/>
          <w:sz w:val="24"/>
          <w:szCs w:val="24"/>
        </w:rPr>
      </w:pPr>
      <w:bookmarkStart w:id="3" w:name="_Toc229127773"/>
      <w:r w:rsidRPr="00507102">
        <w:rPr>
          <w:rFonts w:ascii="Times New Roman" w:hAnsi="Times New Roman" w:cs="Times New Roman"/>
          <w:b/>
          <w:bCs/>
          <w:color w:val="auto"/>
          <w:sz w:val="24"/>
          <w:szCs w:val="24"/>
        </w:rPr>
        <w:t>CHAPTER TWO: METHODOLOGICAL APPROACHES FOR ASSESSING THE ECONOMIC AND ENVIRONMENTAL EFFICIENCY OF AGRICULTURAL HOLDINGS IN THE CONTEXT OF THE GREEN DEAL</w:t>
      </w:r>
      <w:bookmarkEnd w:id="3"/>
    </w:p>
    <w:p w14:paraId="66713F94" w14:textId="77777777" w:rsidR="00627058" w:rsidRPr="00627058" w:rsidRDefault="00627058" w:rsidP="00627058">
      <w:pPr>
        <w:spacing w:line="360" w:lineRule="auto"/>
        <w:ind w:firstLine="720"/>
        <w:jc w:val="both"/>
        <w:rPr>
          <w:rFonts w:ascii="Times New Roman" w:hAnsi="Times New Roman" w:cs="Times New Roman"/>
        </w:rPr>
      </w:pPr>
      <w:r w:rsidRPr="00627058">
        <w:rPr>
          <w:rFonts w:ascii="Times New Roman" w:hAnsi="Times New Roman" w:cs="Times New Roman"/>
        </w:rPr>
        <w:t>In the second chapter of the dissertation, an integrated methodological toolkit is developed and justified for the complex assessment of the economic and environmental efficiency of Bulgarian agricultural holdings under the conditions of the European Union's Green Deal. The methodological design is holistic, combining quantitative and qualitative approaches, with the aim of increasing the validity and reliability of the results obtained. As emphasized by Creswell and Plano Clark (2017), a mixed methodological design allows for a deeper understanding of the research problem by combining data of different types. The choice of research tools is dictated by the need to cover the heterogeneity of the Bulgarian agricultural sector in terms of size, specialization, and production model, as well as to evaluate the impact of sustainable practices on efficiency while taking into account the regulatory requirements of the "Farm to Fork" strategy (European Commission, 2019a).</w:t>
      </w:r>
    </w:p>
    <w:p w14:paraId="21A106B5" w14:textId="77777777" w:rsidR="00627058" w:rsidRDefault="00627058" w:rsidP="00627058">
      <w:pPr>
        <w:spacing w:line="360" w:lineRule="auto"/>
        <w:ind w:firstLine="720"/>
        <w:jc w:val="both"/>
        <w:rPr>
          <w:rFonts w:ascii="Times New Roman" w:hAnsi="Times New Roman" w:cs="Times New Roman"/>
        </w:rPr>
      </w:pPr>
      <w:r w:rsidRPr="00627058">
        <w:rPr>
          <w:rFonts w:ascii="Times New Roman" w:hAnsi="Times New Roman" w:cs="Times New Roman"/>
        </w:rPr>
        <w:t>The methodological framework of the research is systematized in the following table:</w:t>
      </w:r>
    </w:p>
    <w:p w14:paraId="0EC025A0" w14:textId="0573ACC6" w:rsidR="00627058" w:rsidRPr="00627058" w:rsidRDefault="00627058" w:rsidP="00627058">
      <w:pPr>
        <w:spacing w:line="360" w:lineRule="auto"/>
        <w:ind w:firstLine="720"/>
        <w:jc w:val="center"/>
        <w:rPr>
          <w:rFonts w:ascii="Times New Roman" w:hAnsi="Times New Roman" w:cs="Times New Roman"/>
        </w:rPr>
      </w:pPr>
      <w:r w:rsidRPr="00627058">
        <w:rPr>
          <w:rFonts w:ascii="Times New Roman" w:hAnsi="Times New Roman" w:cs="Times New Roman"/>
        </w:rPr>
        <w:t>Table 7: Methodological framework of the research</w:t>
      </w:r>
    </w:p>
    <w:tbl>
      <w:tblPr>
        <w:tblW w:w="6420" w:type="dxa"/>
        <w:jc w:val="center"/>
        <w:tblLook w:val="04A0" w:firstRow="1" w:lastRow="0" w:firstColumn="1" w:lastColumn="0" w:noHBand="0" w:noVBand="1"/>
      </w:tblPr>
      <w:tblGrid>
        <w:gridCol w:w="2260"/>
        <w:gridCol w:w="1980"/>
        <w:gridCol w:w="2180"/>
      </w:tblGrid>
      <w:tr w:rsidR="00627058" w:rsidRPr="00627058" w14:paraId="13FEF685" w14:textId="77777777" w:rsidTr="00627058">
        <w:trPr>
          <w:trHeight w:val="624"/>
          <w:jc w:val="center"/>
        </w:trPr>
        <w:tc>
          <w:tcPr>
            <w:tcW w:w="2260" w:type="dxa"/>
            <w:tcBorders>
              <w:top w:val="single" w:sz="4" w:space="0" w:color="auto"/>
              <w:left w:val="single" w:sz="4" w:space="0" w:color="auto"/>
              <w:bottom w:val="single" w:sz="4" w:space="0" w:color="auto"/>
              <w:right w:val="single" w:sz="4" w:space="0" w:color="auto"/>
            </w:tcBorders>
            <w:vAlign w:val="center"/>
            <w:hideMark/>
          </w:tcPr>
          <w:p w14:paraId="286F2D2C"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lastRenderedPageBreak/>
              <w:t>Research Task</w:t>
            </w:r>
          </w:p>
        </w:tc>
        <w:tc>
          <w:tcPr>
            <w:tcW w:w="1980" w:type="dxa"/>
            <w:tcBorders>
              <w:top w:val="single" w:sz="4" w:space="0" w:color="auto"/>
              <w:left w:val="nil"/>
              <w:bottom w:val="single" w:sz="4" w:space="0" w:color="auto"/>
              <w:right w:val="single" w:sz="4" w:space="0" w:color="auto"/>
            </w:tcBorders>
            <w:vAlign w:val="center"/>
            <w:hideMark/>
          </w:tcPr>
          <w:p w14:paraId="4C24B6F8"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Methods Used</w:t>
            </w:r>
          </w:p>
        </w:tc>
        <w:tc>
          <w:tcPr>
            <w:tcW w:w="2180" w:type="dxa"/>
            <w:tcBorders>
              <w:top w:val="single" w:sz="4" w:space="0" w:color="auto"/>
              <w:left w:val="nil"/>
              <w:bottom w:val="single" w:sz="4" w:space="0" w:color="auto"/>
              <w:right w:val="single" w:sz="4" w:space="0" w:color="auto"/>
            </w:tcBorders>
            <w:vAlign w:val="center"/>
            <w:hideMark/>
          </w:tcPr>
          <w:p w14:paraId="378C1499"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Interpretation Parameters</w:t>
            </w:r>
          </w:p>
        </w:tc>
      </w:tr>
      <w:tr w:rsidR="00627058" w:rsidRPr="00627058" w14:paraId="1B5A5DEC" w14:textId="77777777" w:rsidTr="00627058">
        <w:trPr>
          <w:trHeight w:val="2184"/>
          <w:jc w:val="center"/>
        </w:trPr>
        <w:tc>
          <w:tcPr>
            <w:tcW w:w="2260" w:type="dxa"/>
            <w:tcBorders>
              <w:top w:val="nil"/>
              <w:left w:val="single" w:sz="4" w:space="0" w:color="auto"/>
              <w:bottom w:val="single" w:sz="4" w:space="0" w:color="auto"/>
              <w:right w:val="single" w:sz="4" w:space="0" w:color="auto"/>
            </w:tcBorders>
            <w:vAlign w:val="center"/>
            <w:hideMark/>
          </w:tcPr>
          <w:p w14:paraId="374403FD"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1. Investigation of the attitudes and behavior of farmers toward sustainable practices</w:t>
            </w:r>
          </w:p>
        </w:tc>
        <w:tc>
          <w:tcPr>
            <w:tcW w:w="1980" w:type="dxa"/>
            <w:tcBorders>
              <w:top w:val="nil"/>
              <w:left w:val="nil"/>
              <w:bottom w:val="single" w:sz="4" w:space="0" w:color="auto"/>
              <w:right w:val="single" w:sz="4" w:space="0" w:color="auto"/>
            </w:tcBorders>
            <w:vAlign w:val="center"/>
            <w:hideMark/>
          </w:tcPr>
          <w:p w14:paraId="4759D92D"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Survey among farmers from six NUTS-2 regions and semi-structured focus groups with thematic analysis</w:t>
            </w:r>
          </w:p>
        </w:tc>
        <w:tc>
          <w:tcPr>
            <w:tcW w:w="2180" w:type="dxa"/>
            <w:tcBorders>
              <w:top w:val="nil"/>
              <w:left w:val="nil"/>
              <w:bottom w:val="single" w:sz="4" w:space="0" w:color="auto"/>
              <w:right w:val="single" w:sz="4" w:space="0" w:color="auto"/>
            </w:tcBorders>
            <w:vAlign w:val="center"/>
            <w:hideMark/>
          </w:tcPr>
          <w:p w14:paraId="5CED6C23"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Level of awareness regarding the Green Deal, readiness for adaptation, perceived risks and benefits, identified barriers</w:t>
            </w:r>
          </w:p>
        </w:tc>
      </w:tr>
      <w:tr w:rsidR="00627058" w:rsidRPr="00627058" w14:paraId="3267617F" w14:textId="77777777" w:rsidTr="00627058">
        <w:trPr>
          <w:trHeight w:val="2184"/>
          <w:jc w:val="center"/>
        </w:trPr>
        <w:tc>
          <w:tcPr>
            <w:tcW w:w="2260" w:type="dxa"/>
            <w:tcBorders>
              <w:top w:val="nil"/>
              <w:left w:val="single" w:sz="4" w:space="0" w:color="auto"/>
              <w:bottom w:val="single" w:sz="4" w:space="0" w:color="auto"/>
              <w:right w:val="single" w:sz="4" w:space="0" w:color="auto"/>
            </w:tcBorders>
            <w:vAlign w:val="center"/>
            <w:hideMark/>
          </w:tcPr>
          <w:p w14:paraId="74D1ED17"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2. Formulation of a SWOT matrix for the adaptation of agricultural holdings to the Green Deal</w:t>
            </w:r>
          </w:p>
        </w:tc>
        <w:tc>
          <w:tcPr>
            <w:tcW w:w="1980" w:type="dxa"/>
            <w:tcBorders>
              <w:top w:val="nil"/>
              <w:left w:val="nil"/>
              <w:bottom w:val="single" w:sz="4" w:space="0" w:color="auto"/>
              <w:right w:val="single" w:sz="4" w:space="0" w:color="auto"/>
            </w:tcBorders>
            <w:vAlign w:val="center"/>
            <w:hideMark/>
          </w:tcPr>
          <w:p w14:paraId="34817AB3"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Synthesis of quantitative and qualitative data and SWOT analysis with expert validation</w:t>
            </w:r>
          </w:p>
        </w:tc>
        <w:tc>
          <w:tcPr>
            <w:tcW w:w="2180" w:type="dxa"/>
            <w:tcBorders>
              <w:top w:val="nil"/>
              <w:left w:val="nil"/>
              <w:bottom w:val="single" w:sz="4" w:space="0" w:color="auto"/>
              <w:right w:val="single" w:sz="4" w:space="0" w:color="auto"/>
            </w:tcBorders>
            <w:vAlign w:val="center"/>
            <w:hideMark/>
          </w:tcPr>
          <w:p w14:paraId="664CFBDE"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Strengths, weaknesses, opportunities, and threats; adaptation scenarios; adaptive potential by holding type</w:t>
            </w:r>
          </w:p>
        </w:tc>
      </w:tr>
      <w:tr w:rsidR="00627058" w:rsidRPr="00627058" w14:paraId="66B87C58" w14:textId="77777777" w:rsidTr="00627058">
        <w:trPr>
          <w:trHeight w:val="3120"/>
          <w:jc w:val="center"/>
        </w:trPr>
        <w:tc>
          <w:tcPr>
            <w:tcW w:w="2260" w:type="dxa"/>
            <w:tcBorders>
              <w:top w:val="nil"/>
              <w:left w:val="single" w:sz="4" w:space="0" w:color="auto"/>
              <w:bottom w:val="single" w:sz="4" w:space="0" w:color="auto"/>
              <w:right w:val="single" w:sz="4" w:space="0" w:color="auto"/>
            </w:tcBorders>
            <w:vAlign w:val="center"/>
            <w:hideMark/>
          </w:tcPr>
          <w:p w14:paraId="4314038D"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3. Conducting case studies in real agricultural holdings</w:t>
            </w:r>
          </w:p>
        </w:tc>
        <w:tc>
          <w:tcPr>
            <w:tcW w:w="1980" w:type="dxa"/>
            <w:tcBorders>
              <w:top w:val="nil"/>
              <w:left w:val="nil"/>
              <w:bottom w:val="single" w:sz="4" w:space="0" w:color="auto"/>
              <w:right w:val="single" w:sz="4" w:space="0" w:color="auto"/>
            </w:tcBorders>
            <w:vAlign w:val="center"/>
            <w:hideMark/>
          </w:tcPr>
          <w:p w14:paraId="71D91DD3"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Case studies in three holdings of different size and specialization and counterfactual comparison between regimes with sustainable and conventional practices</w:t>
            </w:r>
          </w:p>
        </w:tc>
        <w:tc>
          <w:tcPr>
            <w:tcW w:w="2180" w:type="dxa"/>
            <w:tcBorders>
              <w:top w:val="nil"/>
              <w:left w:val="nil"/>
              <w:bottom w:val="single" w:sz="4" w:space="0" w:color="auto"/>
              <w:right w:val="single" w:sz="4" w:space="0" w:color="auto"/>
            </w:tcBorders>
            <w:vAlign w:val="center"/>
            <w:hideMark/>
          </w:tcPr>
          <w:p w14:paraId="315A0D2E"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Yields, production value, production costs, etc.</w:t>
            </w:r>
          </w:p>
        </w:tc>
      </w:tr>
      <w:tr w:rsidR="00627058" w:rsidRPr="00627058" w14:paraId="4D5D7B6D" w14:textId="77777777" w:rsidTr="00627058">
        <w:trPr>
          <w:trHeight w:val="1560"/>
          <w:jc w:val="center"/>
        </w:trPr>
        <w:tc>
          <w:tcPr>
            <w:tcW w:w="2260" w:type="dxa"/>
            <w:tcBorders>
              <w:top w:val="nil"/>
              <w:left w:val="single" w:sz="4" w:space="0" w:color="auto"/>
              <w:bottom w:val="single" w:sz="4" w:space="0" w:color="auto"/>
              <w:right w:val="single" w:sz="4" w:space="0" w:color="auto"/>
            </w:tcBorders>
            <w:vAlign w:val="center"/>
            <w:hideMark/>
          </w:tcPr>
          <w:p w14:paraId="4E87259E"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4. Measuring the economic efficiency of sustainable practices</w:t>
            </w:r>
          </w:p>
        </w:tc>
        <w:tc>
          <w:tcPr>
            <w:tcW w:w="1980" w:type="dxa"/>
            <w:tcBorders>
              <w:top w:val="nil"/>
              <w:left w:val="nil"/>
              <w:bottom w:val="single" w:sz="4" w:space="0" w:color="auto"/>
              <w:right w:val="single" w:sz="4" w:space="0" w:color="auto"/>
            </w:tcBorders>
            <w:vAlign w:val="center"/>
            <w:hideMark/>
          </w:tcPr>
          <w:p w14:paraId="31BAFC96"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FADN method and variation analysis between campaigns</w:t>
            </w:r>
          </w:p>
        </w:tc>
        <w:tc>
          <w:tcPr>
            <w:tcW w:w="2180" w:type="dxa"/>
            <w:tcBorders>
              <w:top w:val="nil"/>
              <w:left w:val="nil"/>
              <w:bottom w:val="single" w:sz="4" w:space="0" w:color="auto"/>
              <w:right w:val="single" w:sz="4" w:space="0" w:color="auto"/>
            </w:tcBorders>
            <w:vAlign w:val="center"/>
            <w:hideMark/>
          </w:tcPr>
          <w:p w14:paraId="6D78C654"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Output–cost ratio, land productivity, labor productivity, capital efficiency, etc.</w:t>
            </w:r>
          </w:p>
        </w:tc>
      </w:tr>
      <w:tr w:rsidR="00627058" w:rsidRPr="00627058" w14:paraId="6A77AF5D" w14:textId="77777777" w:rsidTr="00627058">
        <w:trPr>
          <w:trHeight w:val="3120"/>
          <w:jc w:val="center"/>
        </w:trPr>
        <w:tc>
          <w:tcPr>
            <w:tcW w:w="2260" w:type="dxa"/>
            <w:tcBorders>
              <w:top w:val="nil"/>
              <w:left w:val="single" w:sz="4" w:space="0" w:color="auto"/>
              <w:bottom w:val="single" w:sz="4" w:space="0" w:color="auto"/>
              <w:right w:val="single" w:sz="4" w:space="0" w:color="auto"/>
            </w:tcBorders>
            <w:vAlign w:val="center"/>
            <w:hideMark/>
          </w:tcPr>
          <w:p w14:paraId="1654E8A1"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5. Measuring environmental impact and environmental performance</w:t>
            </w:r>
          </w:p>
        </w:tc>
        <w:tc>
          <w:tcPr>
            <w:tcW w:w="1980" w:type="dxa"/>
            <w:tcBorders>
              <w:top w:val="nil"/>
              <w:left w:val="nil"/>
              <w:bottom w:val="single" w:sz="4" w:space="0" w:color="auto"/>
              <w:right w:val="single" w:sz="4" w:space="0" w:color="auto"/>
            </w:tcBorders>
            <w:vAlign w:val="center"/>
            <w:hideMark/>
          </w:tcPr>
          <w:p w14:paraId="526D2EC5"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Farm-gate analysis</w:t>
            </w:r>
          </w:p>
        </w:tc>
        <w:tc>
          <w:tcPr>
            <w:tcW w:w="2180" w:type="dxa"/>
            <w:tcBorders>
              <w:top w:val="nil"/>
              <w:left w:val="nil"/>
              <w:bottom w:val="single" w:sz="4" w:space="0" w:color="auto"/>
              <w:right w:val="single" w:sz="4" w:space="0" w:color="auto"/>
            </w:tcBorders>
            <w:vAlign w:val="center"/>
            <w:hideMark/>
          </w:tcPr>
          <w:p w14:paraId="41A823F1"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Intensity of nitrogen fertilizer use, expenditures on plant protection products, specific costs in livestock breeding, pesticide use, nitrogen use, sales of antimicrobials, etc.</w:t>
            </w:r>
          </w:p>
        </w:tc>
      </w:tr>
      <w:tr w:rsidR="00627058" w:rsidRPr="00627058" w14:paraId="67DEDA35" w14:textId="77777777" w:rsidTr="00627058">
        <w:trPr>
          <w:trHeight w:val="2496"/>
          <w:jc w:val="center"/>
        </w:trPr>
        <w:tc>
          <w:tcPr>
            <w:tcW w:w="2260" w:type="dxa"/>
            <w:tcBorders>
              <w:top w:val="nil"/>
              <w:left w:val="single" w:sz="4" w:space="0" w:color="auto"/>
              <w:bottom w:val="single" w:sz="4" w:space="0" w:color="auto"/>
              <w:right w:val="single" w:sz="4" w:space="0" w:color="auto"/>
            </w:tcBorders>
            <w:vAlign w:val="center"/>
            <w:hideMark/>
          </w:tcPr>
          <w:p w14:paraId="0C8F6252"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lastRenderedPageBreak/>
              <w:t>6. Measuring the environmental efficiency (eco-efficiency) of sustainable practices</w:t>
            </w:r>
          </w:p>
        </w:tc>
        <w:tc>
          <w:tcPr>
            <w:tcW w:w="1980" w:type="dxa"/>
            <w:tcBorders>
              <w:top w:val="nil"/>
              <w:left w:val="nil"/>
              <w:bottom w:val="single" w:sz="4" w:space="0" w:color="auto"/>
              <w:right w:val="single" w:sz="4" w:space="0" w:color="auto"/>
            </w:tcBorders>
            <w:vAlign w:val="center"/>
            <w:hideMark/>
          </w:tcPr>
          <w:p w14:paraId="73BBADF7"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Eco-efficiency approach and counterfactual comparison</w:t>
            </w:r>
          </w:p>
        </w:tc>
        <w:tc>
          <w:tcPr>
            <w:tcW w:w="2180" w:type="dxa"/>
            <w:tcBorders>
              <w:top w:val="nil"/>
              <w:left w:val="nil"/>
              <w:bottom w:val="single" w:sz="4" w:space="0" w:color="auto"/>
              <w:right w:val="single" w:sz="4" w:space="0" w:color="auto"/>
            </w:tcBorders>
            <w:vAlign w:val="center"/>
            <w:hideMark/>
          </w:tcPr>
          <w:p w14:paraId="020DD631"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Comparison of economic results with the degree of environmental pressure per functional units of hectare and ton of output</w:t>
            </w:r>
          </w:p>
        </w:tc>
      </w:tr>
      <w:tr w:rsidR="00627058" w:rsidRPr="00627058" w14:paraId="1D07103C" w14:textId="77777777" w:rsidTr="00627058">
        <w:trPr>
          <w:trHeight w:val="1560"/>
          <w:jc w:val="center"/>
        </w:trPr>
        <w:tc>
          <w:tcPr>
            <w:tcW w:w="2260" w:type="dxa"/>
            <w:tcBorders>
              <w:top w:val="nil"/>
              <w:left w:val="single" w:sz="4" w:space="0" w:color="auto"/>
              <w:bottom w:val="single" w:sz="4" w:space="0" w:color="auto"/>
              <w:right w:val="single" w:sz="4" w:space="0" w:color="auto"/>
            </w:tcBorders>
            <w:vAlign w:val="center"/>
            <w:hideMark/>
          </w:tcPr>
          <w:p w14:paraId="6B661D3D"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7. Interpretation of economic and environmental efficiency</w:t>
            </w:r>
          </w:p>
        </w:tc>
        <w:tc>
          <w:tcPr>
            <w:tcW w:w="1980" w:type="dxa"/>
            <w:tcBorders>
              <w:top w:val="nil"/>
              <w:left w:val="nil"/>
              <w:bottom w:val="single" w:sz="4" w:space="0" w:color="auto"/>
              <w:right w:val="single" w:sz="4" w:space="0" w:color="auto"/>
            </w:tcBorders>
            <w:vAlign w:val="center"/>
            <w:hideMark/>
          </w:tcPr>
          <w:p w14:paraId="477C92EA"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Comparative analysis within the framework of the case studies</w:t>
            </w:r>
          </w:p>
        </w:tc>
        <w:tc>
          <w:tcPr>
            <w:tcW w:w="2180" w:type="dxa"/>
            <w:tcBorders>
              <w:top w:val="nil"/>
              <w:left w:val="nil"/>
              <w:bottom w:val="single" w:sz="4" w:space="0" w:color="auto"/>
              <w:right w:val="single" w:sz="4" w:space="0" w:color="auto"/>
            </w:tcBorders>
            <w:vAlign w:val="center"/>
            <w:hideMark/>
          </w:tcPr>
          <w:p w14:paraId="111CE843"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Identification of practices with economic efficiency, environmental efficiency</w:t>
            </w:r>
          </w:p>
        </w:tc>
      </w:tr>
      <w:tr w:rsidR="00627058" w:rsidRPr="00627058" w14:paraId="7A5C159D" w14:textId="77777777" w:rsidTr="00627058">
        <w:trPr>
          <w:trHeight w:val="3432"/>
          <w:jc w:val="center"/>
        </w:trPr>
        <w:tc>
          <w:tcPr>
            <w:tcW w:w="2260" w:type="dxa"/>
            <w:tcBorders>
              <w:top w:val="nil"/>
              <w:left w:val="single" w:sz="4" w:space="0" w:color="auto"/>
              <w:bottom w:val="single" w:sz="4" w:space="0" w:color="auto"/>
              <w:right w:val="single" w:sz="4" w:space="0" w:color="auto"/>
            </w:tcBorders>
            <w:vAlign w:val="center"/>
            <w:hideMark/>
          </w:tcPr>
          <w:p w14:paraId="3306829F"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8. Modeling possible changes in efficiency when resources with high environmental pressure change</w:t>
            </w:r>
          </w:p>
        </w:tc>
        <w:tc>
          <w:tcPr>
            <w:tcW w:w="1980" w:type="dxa"/>
            <w:tcBorders>
              <w:top w:val="nil"/>
              <w:left w:val="nil"/>
              <w:bottom w:val="single" w:sz="4" w:space="0" w:color="auto"/>
              <w:right w:val="single" w:sz="4" w:space="0" w:color="auto"/>
            </w:tcBorders>
            <w:vAlign w:val="center"/>
            <w:hideMark/>
          </w:tcPr>
          <w:p w14:paraId="1BCDE9C7"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Econometric modeling with stochastic and scenario elements, based on historical series</w:t>
            </w:r>
          </w:p>
        </w:tc>
        <w:tc>
          <w:tcPr>
            <w:tcW w:w="2180" w:type="dxa"/>
            <w:tcBorders>
              <w:top w:val="nil"/>
              <w:left w:val="nil"/>
              <w:bottom w:val="single" w:sz="4" w:space="0" w:color="auto"/>
              <w:right w:val="single" w:sz="4" w:space="0" w:color="auto"/>
            </w:tcBorders>
            <w:vAlign w:val="center"/>
            <w:hideMark/>
          </w:tcPr>
          <w:p w14:paraId="458E2CDE"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Trends in the use of chemical nitrogen fertilizers and antibiotics; alternative scenarios until 2030; sensitivity of economic and environmental efficiency to regulatory changes</w:t>
            </w:r>
          </w:p>
        </w:tc>
      </w:tr>
      <w:tr w:rsidR="00627058" w:rsidRPr="00627058" w14:paraId="19BDF4A8" w14:textId="77777777" w:rsidTr="00627058">
        <w:trPr>
          <w:trHeight w:val="3432"/>
          <w:jc w:val="center"/>
        </w:trPr>
        <w:tc>
          <w:tcPr>
            <w:tcW w:w="2260" w:type="dxa"/>
            <w:tcBorders>
              <w:top w:val="nil"/>
              <w:left w:val="single" w:sz="4" w:space="0" w:color="auto"/>
              <w:bottom w:val="single" w:sz="4" w:space="0" w:color="auto"/>
              <w:right w:val="single" w:sz="4" w:space="0" w:color="auto"/>
            </w:tcBorders>
            <w:vAlign w:val="center"/>
            <w:hideMark/>
          </w:tcPr>
          <w:p w14:paraId="39B6277D" w14:textId="77777777" w:rsidR="00627058" w:rsidRPr="00627058" w:rsidRDefault="00627058" w:rsidP="00627058">
            <w:pPr>
              <w:spacing w:after="0" w:line="240" w:lineRule="auto"/>
              <w:jc w:val="center"/>
              <w:rPr>
                <w:rFonts w:ascii="Times New Roman" w:eastAsia="Times New Roman" w:hAnsi="Times New Roman" w:cs="Times New Roman"/>
                <w:b/>
                <w:bCs/>
                <w:color w:val="1F1F1F"/>
                <w:kern w:val="0"/>
                <w14:ligatures w14:val="none"/>
              </w:rPr>
            </w:pPr>
            <w:r w:rsidRPr="00627058">
              <w:rPr>
                <w:rFonts w:ascii="Times New Roman" w:eastAsia="Times New Roman" w:hAnsi="Times New Roman" w:cs="Times New Roman"/>
                <w:b/>
                <w:bCs/>
                <w:color w:val="1F1F1F"/>
                <w:kern w:val="0"/>
                <w14:ligatures w14:val="none"/>
              </w:rPr>
              <w:t>Investigation of the dependency between the number of holdings and the use of mineral fertilizers</w:t>
            </w:r>
          </w:p>
        </w:tc>
        <w:tc>
          <w:tcPr>
            <w:tcW w:w="1980" w:type="dxa"/>
            <w:tcBorders>
              <w:top w:val="nil"/>
              <w:left w:val="nil"/>
              <w:bottom w:val="single" w:sz="4" w:space="0" w:color="auto"/>
              <w:right w:val="single" w:sz="4" w:space="0" w:color="auto"/>
            </w:tcBorders>
            <w:vAlign w:val="center"/>
            <w:hideMark/>
          </w:tcPr>
          <w:p w14:paraId="1C15BF34"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Correlation and determination analysis</w:t>
            </w:r>
          </w:p>
        </w:tc>
        <w:tc>
          <w:tcPr>
            <w:tcW w:w="2180" w:type="dxa"/>
            <w:tcBorders>
              <w:top w:val="nil"/>
              <w:left w:val="nil"/>
              <w:bottom w:val="single" w:sz="4" w:space="0" w:color="auto"/>
              <w:right w:val="single" w:sz="4" w:space="0" w:color="auto"/>
            </w:tcBorders>
            <w:vAlign w:val="center"/>
            <w:hideMark/>
          </w:tcPr>
          <w:p w14:paraId="0954EABC" w14:textId="77777777" w:rsidR="00627058" w:rsidRPr="00627058" w:rsidRDefault="00627058" w:rsidP="00627058">
            <w:pPr>
              <w:spacing w:after="0" w:line="240" w:lineRule="auto"/>
              <w:jc w:val="center"/>
              <w:rPr>
                <w:rFonts w:ascii="Times New Roman" w:eastAsia="Times New Roman" w:hAnsi="Times New Roman" w:cs="Times New Roman"/>
                <w:color w:val="1F1F1F"/>
                <w:kern w:val="0"/>
                <w14:ligatures w14:val="none"/>
              </w:rPr>
            </w:pPr>
            <w:r w:rsidRPr="00627058">
              <w:rPr>
                <w:rFonts w:ascii="Times New Roman" w:eastAsia="Times New Roman" w:hAnsi="Times New Roman" w:cs="Times New Roman"/>
                <w:color w:val="1F1F1F"/>
                <w:kern w:val="0"/>
                <w14:ligatures w14:val="none"/>
              </w:rPr>
              <w:t>Strength and direction of the relationship, correlation coefficient (r), coefficient of determination (R²), forecast effects on the structure of the sector and total fertilizer use</w:t>
            </w:r>
          </w:p>
        </w:tc>
      </w:tr>
    </w:tbl>
    <w:p w14:paraId="4837A4D7" w14:textId="778C9DEC" w:rsidR="00627058" w:rsidRDefault="00627058" w:rsidP="00627058">
      <w:pPr>
        <w:spacing w:line="360" w:lineRule="auto"/>
        <w:ind w:firstLine="720"/>
        <w:jc w:val="center"/>
        <w:rPr>
          <w:rFonts w:ascii="Times New Roman" w:hAnsi="Times New Roman" w:cs="Times New Roman"/>
        </w:rPr>
      </w:pPr>
      <w:r w:rsidRPr="00627058">
        <w:rPr>
          <w:rFonts w:ascii="Times New Roman" w:hAnsi="Times New Roman" w:cs="Times New Roman"/>
        </w:rPr>
        <w:t>Source: own scheme</w:t>
      </w:r>
    </w:p>
    <w:p w14:paraId="255DF05B" w14:textId="77777777" w:rsidR="000425EF" w:rsidRPr="000425EF" w:rsidRDefault="000425EF" w:rsidP="000425EF">
      <w:pPr>
        <w:spacing w:line="360" w:lineRule="auto"/>
        <w:ind w:firstLine="720"/>
        <w:jc w:val="both"/>
        <w:rPr>
          <w:rFonts w:ascii="Times New Roman" w:hAnsi="Times New Roman" w:cs="Times New Roman"/>
        </w:rPr>
      </w:pPr>
      <w:r w:rsidRPr="000425EF">
        <w:rPr>
          <w:rFonts w:ascii="Times New Roman" w:hAnsi="Times New Roman" w:cs="Times New Roman"/>
        </w:rPr>
        <w:t>After determining the general methodological framework, we proceed to the detailed development of the criteria and indicators for assessing economic and environmental efficiency. These criteria are systematized in the following table:</w:t>
      </w:r>
    </w:p>
    <w:p w14:paraId="1FDAA269" w14:textId="77777777" w:rsidR="000425EF" w:rsidRDefault="000425EF" w:rsidP="000425EF">
      <w:pPr>
        <w:spacing w:line="360" w:lineRule="auto"/>
        <w:ind w:firstLine="720"/>
        <w:jc w:val="center"/>
        <w:rPr>
          <w:rFonts w:ascii="Times New Roman" w:hAnsi="Times New Roman" w:cs="Times New Roman"/>
        </w:rPr>
      </w:pPr>
      <w:r w:rsidRPr="000425EF">
        <w:rPr>
          <w:rFonts w:ascii="Times New Roman" w:hAnsi="Times New Roman" w:cs="Times New Roman"/>
        </w:rPr>
        <w:lastRenderedPageBreak/>
        <w:t>Table 8: Criteria and indicators for assessing the economic and environmental efficiency of agricultural holdings under the conditions of the Green Deal</w:t>
      </w:r>
    </w:p>
    <w:tbl>
      <w:tblPr>
        <w:tblW w:w="10780" w:type="dxa"/>
        <w:jc w:val="center"/>
        <w:tblLook w:val="04A0" w:firstRow="1" w:lastRow="0" w:firstColumn="1" w:lastColumn="0" w:noHBand="0" w:noVBand="1"/>
      </w:tblPr>
      <w:tblGrid>
        <w:gridCol w:w="1763"/>
        <w:gridCol w:w="1667"/>
        <w:gridCol w:w="2263"/>
        <w:gridCol w:w="1720"/>
        <w:gridCol w:w="1651"/>
        <w:gridCol w:w="1716"/>
      </w:tblGrid>
      <w:tr w:rsidR="000425EF" w:rsidRPr="000425EF" w14:paraId="61BCBF9D" w14:textId="77777777" w:rsidTr="000425EF">
        <w:trPr>
          <w:trHeight w:val="1248"/>
          <w:jc w:val="center"/>
        </w:trPr>
        <w:tc>
          <w:tcPr>
            <w:tcW w:w="1580" w:type="dxa"/>
            <w:tcBorders>
              <w:top w:val="single" w:sz="4" w:space="0" w:color="auto"/>
              <w:left w:val="single" w:sz="4" w:space="0" w:color="auto"/>
              <w:bottom w:val="single" w:sz="4" w:space="0" w:color="auto"/>
              <w:right w:val="single" w:sz="4" w:space="0" w:color="auto"/>
            </w:tcBorders>
            <w:vAlign w:val="center"/>
            <w:hideMark/>
          </w:tcPr>
          <w:p w14:paraId="0F48CEFD"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t>Area of Analysis</w:t>
            </w:r>
          </w:p>
        </w:tc>
        <w:tc>
          <w:tcPr>
            <w:tcW w:w="1700" w:type="dxa"/>
            <w:tcBorders>
              <w:top w:val="single" w:sz="4" w:space="0" w:color="auto"/>
              <w:left w:val="nil"/>
              <w:bottom w:val="single" w:sz="4" w:space="0" w:color="auto"/>
              <w:right w:val="single" w:sz="4" w:space="0" w:color="auto"/>
            </w:tcBorders>
            <w:vAlign w:val="center"/>
            <w:hideMark/>
          </w:tcPr>
          <w:p w14:paraId="77398212"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t>Criterion</w:t>
            </w:r>
          </w:p>
        </w:tc>
        <w:tc>
          <w:tcPr>
            <w:tcW w:w="2300" w:type="dxa"/>
            <w:tcBorders>
              <w:top w:val="single" w:sz="4" w:space="0" w:color="auto"/>
              <w:left w:val="nil"/>
              <w:bottom w:val="single" w:sz="4" w:space="0" w:color="auto"/>
              <w:right w:val="single" w:sz="4" w:space="0" w:color="auto"/>
            </w:tcBorders>
            <w:vAlign w:val="center"/>
            <w:hideMark/>
          </w:tcPr>
          <w:p w14:paraId="743FD549"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t>Indicator</w:t>
            </w:r>
          </w:p>
        </w:tc>
        <w:tc>
          <w:tcPr>
            <w:tcW w:w="1740" w:type="dxa"/>
            <w:tcBorders>
              <w:top w:val="single" w:sz="4" w:space="0" w:color="auto"/>
              <w:left w:val="nil"/>
              <w:bottom w:val="single" w:sz="4" w:space="0" w:color="auto"/>
              <w:right w:val="single" w:sz="4" w:space="0" w:color="auto"/>
            </w:tcBorders>
            <w:vAlign w:val="center"/>
            <w:hideMark/>
          </w:tcPr>
          <w:p w14:paraId="4FE64F53"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t>Method</w:t>
            </w:r>
          </w:p>
        </w:tc>
        <w:tc>
          <w:tcPr>
            <w:tcW w:w="1680" w:type="dxa"/>
            <w:tcBorders>
              <w:top w:val="single" w:sz="4" w:space="0" w:color="auto"/>
              <w:left w:val="nil"/>
              <w:bottom w:val="single" w:sz="4" w:space="0" w:color="auto"/>
              <w:right w:val="single" w:sz="4" w:space="0" w:color="auto"/>
            </w:tcBorders>
            <w:vAlign w:val="center"/>
            <w:hideMark/>
          </w:tcPr>
          <w:p w14:paraId="517DFC17"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t>Level of Observation</w:t>
            </w:r>
          </w:p>
        </w:tc>
        <w:tc>
          <w:tcPr>
            <w:tcW w:w="1780" w:type="dxa"/>
            <w:tcBorders>
              <w:top w:val="single" w:sz="4" w:space="0" w:color="auto"/>
              <w:left w:val="nil"/>
              <w:bottom w:val="single" w:sz="4" w:space="0" w:color="auto"/>
              <w:right w:val="single" w:sz="4" w:space="0" w:color="auto"/>
            </w:tcBorders>
            <w:vAlign w:val="center"/>
            <w:hideMark/>
          </w:tcPr>
          <w:p w14:paraId="693CEF7F"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t>Hypothesis</w:t>
            </w:r>
          </w:p>
        </w:tc>
      </w:tr>
      <w:tr w:rsidR="000425EF" w:rsidRPr="000425EF" w14:paraId="4A8EB766" w14:textId="77777777" w:rsidTr="000425EF">
        <w:trPr>
          <w:trHeight w:val="3444"/>
          <w:jc w:val="center"/>
        </w:trPr>
        <w:tc>
          <w:tcPr>
            <w:tcW w:w="1580" w:type="dxa"/>
            <w:tcBorders>
              <w:top w:val="nil"/>
              <w:left w:val="single" w:sz="4" w:space="0" w:color="auto"/>
              <w:bottom w:val="single" w:sz="4" w:space="0" w:color="auto"/>
              <w:right w:val="single" w:sz="4" w:space="0" w:color="auto"/>
            </w:tcBorders>
            <w:vAlign w:val="center"/>
            <w:hideMark/>
          </w:tcPr>
          <w:p w14:paraId="210FDA21"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t>Economic Efficiency (FADN)</w:t>
            </w:r>
          </w:p>
        </w:tc>
        <w:tc>
          <w:tcPr>
            <w:tcW w:w="1700" w:type="dxa"/>
            <w:tcBorders>
              <w:top w:val="nil"/>
              <w:left w:val="nil"/>
              <w:bottom w:val="single" w:sz="4" w:space="0" w:color="auto"/>
              <w:right w:val="single" w:sz="4" w:space="0" w:color="auto"/>
            </w:tcBorders>
            <w:vAlign w:val="center"/>
            <w:hideMark/>
          </w:tcPr>
          <w:p w14:paraId="782FF3A2"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Efficiency of production costs</w:t>
            </w:r>
          </w:p>
        </w:tc>
        <w:tc>
          <w:tcPr>
            <w:tcW w:w="2300" w:type="dxa"/>
            <w:tcBorders>
              <w:top w:val="nil"/>
              <w:left w:val="nil"/>
              <w:bottom w:val="single" w:sz="4" w:space="0" w:color="auto"/>
              <w:right w:val="single" w:sz="4" w:space="0" w:color="auto"/>
            </w:tcBorders>
            <w:vAlign w:val="center"/>
            <w:hideMark/>
          </w:tcPr>
          <w:p w14:paraId="62A29146"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 coefficient of the ratio total output/total costs: (SE131/SE025)BG / (SE270/SE025)EU</w:t>
            </w:r>
          </w:p>
        </w:tc>
        <w:tc>
          <w:tcPr>
            <w:tcW w:w="1740" w:type="dxa"/>
            <w:tcBorders>
              <w:top w:val="nil"/>
              <w:left w:val="nil"/>
              <w:bottom w:val="single" w:sz="4" w:space="0" w:color="auto"/>
              <w:right w:val="single" w:sz="4" w:space="0" w:color="auto"/>
            </w:tcBorders>
            <w:vAlign w:val="center"/>
            <w:hideMark/>
          </w:tcPr>
          <w:p w14:paraId="11AC1B5A"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w:t>
            </w:r>
          </w:p>
        </w:tc>
        <w:tc>
          <w:tcPr>
            <w:tcW w:w="1680" w:type="dxa"/>
            <w:tcBorders>
              <w:top w:val="nil"/>
              <w:left w:val="nil"/>
              <w:bottom w:val="single" w:sz="4" w:space="0" w:color="auto"/>
              <w:right w:val="single" w:sz="4" w:space="0" w:color="auto"/>
            </w:tcBorders>
            <w:vAlign w:val="center"/>
            <w:hideMark/>
          </w:tcPr>
          <w:p w14:paraId="12A1F4E9"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Holding; comparison with the EU</w:t>
            </w:r>
          </w:p>
        </w:tc>
        <w:tc>
          <w:tcPr>
            <w:tcW w:w="1780" w:type="dxa"/>
            <w:tcBorders>
              <w:top w:val="nil"/>
              <w:left w:val="nil"/>
              <w:bottom w:val="single" w:sz="4" w:space="0" w:color="auto"/>
              <w:right w:val="single" w:sz="4" w:space="0" w:color="auto"/>
            </w:tcBorders>
            <w:vAlign w:val="center"/>
            <w:hideMark/>
          </w:tcPr>
          <w:p w14:paraId="6A3D3E5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H1</w:t>
            </w:r>
          </w:p>
        </w:tc>
      </w:tr>
      <w:tr w:rsidR="000425EF" w:rsidRPr="000425EF" w14:paraId="69FDA007" w14:textId="77777777" w:rsidTr="000425EF">
        <w:trPr>
          <w:trHeight w:val="4368"/>
          <w:jc w:val="center"/>
        </w:trPr>
        <w:tc>
          <w:tcPr>
            <w:tcW w:w="1580" w:type="dxa"/>
            <w:tcBorders>
              <w:top w:val="nil"/>
              <w:left w:val="single" w:sz="4" w:space="0" w:color="auto"/>
              <w:bottom w:val="single" w:sz="4" w:space="0" w:color="auto"/>
              <w:right w:val="single" w:sz="4" w:space="0" w:color="auto"/>
            </w:tcBorders>
            <w:vAlign w:val="center"/>
            <w:hideMark/>
          </w:tcPr>
          <w:p w14:paraId="601EABAE"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13AD1412"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Labor efficiency</w:t>
            </w:r>
          </w:p>
        </w:tc>
        <w:tc>
          <w:tcPr>
            <w:tcW w:w="2300" w:type="dxa"/>
            <w:tcBorders>
              <w:top w:val="nil"/>
              <w:left w:val="nil"/>
              <w:bottom w:val="single" w:sz="4" w:space="0" w:color="auto"/>
              <w:right w:val="single" w:sz="4" w:space="0" w:color="auto"/>
            </w:tcBorders>
            <w:vAlign w:val="center"/>
            <w:hideMark/>
          </w:tcPr>
          <w:p w14:paraId="71E7B28E"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 coefficient of output per annual work unit: (SE131/SE010)BG / (SE131/SE010)EU</w:t>
            </w:r>
          </w:p>
        </w:tc>
        <w:tc>
          <w:tcPr>
            <w:tcW w:w="1740" w:type="dxa"/>
            <w:tcBorders>
              <w:top w:val="nil"/>
              <w:left w:val="nil"/>
              <w:bottom w:val="single" w:sz="4" w:space="0" w:color="auto"/>
              <w:right w:val="single" w:sz="4" w:space="0" w:color="auto"/>
            </w:tcBorders>
            <w:vAlign w:val="center"/>
            <w:hideMark/>
          </w:tcPr>
          <w:p w14:paraId="60B9DE61"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w:t>
            </w:r>
          </w:p>
        </w:tc>
        <w:tc>
          <w:tcPr>
            <w:tcW w:w="1680" w:type="dxa"/>
            <w:tcBorders>
              <w:top w:val="nil"/>
              <w:left w:val="nil"/>
              <w:bottom w:val="single" w:sz="4" w:space="0" w:color="auto"/>
              <w:right w:val="single" w:sz="4" w:space="0" w:color="auto"/>
            </w:tcBorders>
            <w:vAlign w:val="center"/>
            <w:hideMark/>
          </w:tcPr>
          <w:p w14:paraId="5595258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Holding; comparison with the EU</w:t>
            </w:r>
          </w:p>
        </w:tc>
        <w:tc>
          <w:tcPr>
            <w:tcW w:w="1780" w:type="dxa"/>
            <w:tcBorders>
              <w:top w:val="nil"/>
              <w:left w:val="nil"/>
              <w:bottom w:val="single" w:sz="4" w:space="0" w:color="auto"/>
              <w:right w:val="single" w:sz="4" w:space="0" w:color="auto"/>
            </w:tcBorders>
            <w:vAlign w:val="center"/>
            <w:hideMark/>
          </w:tcPr>
          <w:p w14:paraId="55CE64C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H1</w:t>
            </w:r>
          </w:p>
        </w:tc>
      </w:tr>
      <w:tr w:rsidR="000425EF" w:rsidRPr="000425EF" w14:paraId="56672819" w14:textId="77777777" w:rsidTr="000425EF">
        <w:trPr>
          <w:trHeight w:val="4056"/>
          <w:jc w:val="center"/>
        </w:trPr>
        <w:tc>
          <w:tcPr>
            <w:tcW w:w="1580" w:type="dxa"/>
            <w:tcBorders>
              <w:top w:val="nil"/>
              <w:left w:val="single" w:sz="4" w:space="0" w:color="auto"/>
              <w:bottom w:val="single" w:sz="4" w:space="0" w:color="auto"/>
              <w:right w:val="single" w:sz="4" w:space="0" w:color="auto"/>
            </w:tcBorders>
            <w:vAlign w:val="center"/>
            <w:hideMark/>
          </w:tcPr>
          <w:p w14:paraId="41F1160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lastRenderedPageBreak/>
              <w:t> </w:t>
            </w:r>
          </w:p>
        </w:tc>
        <w:tc>
          <w:tcPr>
            <w:tcW w:w="1700" w:type="dxa"/>
            <w:tcBorders>
              <w:top w:val="nil"/>
              <w:left w:val="nil"/>
              <w:bottom w:val="single" w:sz="4" w:space="0" w:color="auto"/>
              <w:right w:val="single" w:sz="4" w:space="0" w:color="auto"/>
            </w:tcBorders>
            <w:vAlign w:val="center"/>
            <w:hideMark/>
          </w:tcPr>
          <w:p w14:paraId="58E7743E"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Capital efficiency</w:t>
            </w:r>
          </w:p>
        </w:tc>
        <w:tc>
          <w:tcPr>
            <w:tcW w:w="2300" w:type="dxa"/>
            <w:tcBorders>
              <w:top w:val="nil"/>
              <w:left w:val="nil"/>
              <w:bottom w:val="single" w:sz="4" w:space="0" w:color="auto"/>
              <w:right w:val="single" w:sz="4" w:space="0" w:color="auto"/>
            </w:tcBorders>
            <w:vAlign w:val="center"/>
            <w:hideMark/>
          </w:tcPr>
          <w:p w14:paraId="42635CF8"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 coefficient of output per unit of assets: (SE131/SE436)BG / (SE131/SE436)EU</w:t>
            </w:r>
          </w:p>
        </w:tc>
        <w:tc>
          <w:tcPr>
            <w:tcW w:w="1740" w:type="dxa"/>
            <w:tcBorders>
              <w:top w:val="nil"/>
              <w:left w:val="nil"/>
              <w:bottom w:val="single" w:sz="4" w:space="0" w:color="auto"/>
              <w:right w:val="single" w:sz="4" w:space="0" w:color="auto"/>
            </w:tcBorders>
            <w:vAlign w:val="center"/>
            <w:hideMark/>
          </w:tcPr>
          <w:p w14:paraId="78F265E4"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w:t>
            </w:r>
          </w:p>
        </w:tc>
        <w:tc>
          <w:tcPr>
            <w:tcW w:w="1680" w:type="dxa"/>
            <w:tcBorders>
              <w:top w:val="nil"/>
              <w:left w:val="nil"/>
              <w:bottom w:val="single" w:sz="4" w:space="0" w:color="auto"/>
              <w:right w:val="single" w:sz="4" w:space="0" w:color="auto"/>
            </w:tcBorders>
            <w:vAlign w:val="center"/>
            <w:hideMark/>
          </w:tcPr>
          <w:p w14:paraId="063BC6D4"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Holding; comparison with the EU</w:t>
            </w:r>
          </w:p>
        </w:tc>
        <w:tc>
          <w:tcPr>
            <w:tcW w:w="1780" w:type="dxa"/>
            <w:tcBorders>
              <w:top w:val="nil"/>
              <w:left w:val="nil"/>
              <w:bottom w:val="single" w:sz="4" w:space="0" w:color="auto"/>
              <w:right w:val="single" w:sz="4" w:space="0" w:color="auto"/>
            </w:tcBorders>
            <w:vAlign w:val="center"/>
            <w:hideMark/>
          </w:tcPr>
          <w:p w14:paraId="3E47752E"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H1</w:t>
            </w:r>
          </w:p>
        </w:tc>
      </w:tr>
      <w:tr w:rsidR="000425EF" w:rsidRPr="000425EF" w14:paraId="625A7A0A" w14:textId="77777777" w:rsidTr="000425EF">
        <w:trPr>
          <w:trHeight w:val="2808"/>
          <w:jc w:val="center"/>
        </w:trPr>
        <w:tc>
          <w:tcPr>
            <w:tcW w:w="1580" w:type="dxa"/>
            <w:tcBorders>
              <w:top w:val="nil"/>
              <w:left w:val="single" w:sz="4" w:space="0" w:color="auto"/>
              <w:bottom w:val="single" w:sz="4" w:space="0" w:color="auto"/>
              <w:right w:val="single" w:sz="4" w:space="0" w:color="auto"/>
            </w:tcBorders>
            <w:vAlign w:val="center"/>
            <w:hideMark/>
          </w:tcPr>
          <w:p w14:paraId="4E7A1E5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3DEC13CE"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Land use efficiency</w:t>
            </w:r>
          </w:p>
        </w:tc>
        <w:tc>
          <w:tcPr>
            <w:tcW w:w="2300" w:type="dxa"/>
            <w:tcBorders>
              <w:top w:val="nil"/>
              <w:left w:val="nil"/>
              <w:bottom w:val="single" w:sz="4" w:space="0" w:color="auto"/>
              <w:right w:val="single" w:sz="4" w:space="0" w:color="auto"/>
            </w:tcBorders>
            <w:vAlign w:val="center"/>
            <w:hideMark/>
          </w:tcPr>
          <w:p w14:paraId="24C091E4"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 coefficient of rent paid: SE375BG / SE375EU (€/ha)</w:t>
            </w:r>
          </w:p>
        </w:tc>
        <w:tc>
          <w:tcPr>
            <w:tcW w:w="1740" w:type="dxa"/>
            <w:tcBorders>
              <w:top w:val="nil"/>
              <w:left w:val="nil"/>
              <w:bottom w:val="single" w:sz="4" w:space="0" w:color="auto"/>
              <w:right w:val="single" w:sz="4" w:space="0" w:color="auto"/>
            </w:tcBorders>
            <w:vAlign w:val="center"/>
            <w:hideMark/>
          </w:tcPr>
          <w:p w14:paraId="0AA99952"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w:t>
            </w:r>
          </w:p>
        </w:tc>
        <w:tc>
          <w:tcPr>
            <w:tcW w:w="1680" w:type="dxa"/>
            <w:tcBorders>
              <w:top w:val="nil"/>
              <w:left w:val="nil"/>
              <w:bottom w:val="single" w:sz="4" w:space="0" w:color="auto"/>
              <w:right w:val="single" w:sz="4" w:space="0" w:color="auto"/>
            </w:tcBorders>
            <w:vAlign w:val="center"/>
            <w:hideMark/>
          </w:tcPr>
          <w:p w14:paraId="276B88D3"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Holding; comparison with the EU</w:t>
            </w:r>
          </w:p>
        </w:tc>
        <w:tc>
          <w:tcPr>
            <w:tcW w:w="1780" w:type="dxa"/>
            <w:tcBorders>
              <w:top w:val="nil"/>
              <w:left w:val="nil"/>
              <w:bottom w:val="single" w:sz="4" w:space="0" w:color="auto"/>
              <w:right w:val="single" w:sz="4" w:space="0" w:color="auto"/>
            </w:tcBorders>
            <w:vAlign w:val="center"/>
            <w:hideMark/>
          </w:tcPr>
          <w:p w14:paraId="636CDCA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H1</w:t>
            </w:r>
          </w:p>
        </w:tc>
      </w:tr>
      <w:tr w:rsidR="000425EF" w:rsidRPr="000425EF" w14:paraId="463A7BFA" w14:textId="77777777" w:rsidTr="000425EF">
        <w:trPr>
          <w:trHeight w:val="3744"/>
          <w:jc w:val="center"/>
        </w:trPr>
        <w:tc>
          <w:tcPr>
            <w:tcW w:w="1580" w:type="dxa"/>
            <w:tcBorders>
              <w:top w:val="nil"/>
              <w:left w:val="single" w:sz="4" w:space="0" w:color="auto"/>
              <w:bottom w:val="single" w:sz="4" w:space="0" w:color="auto"/>
              <w:right w:val="single" w:sz="4" w:space="0" w:color="auto"/>
            </w:tcBorders>
            <w:vAlign w:val="center"/>
            <w:hideMark/>
          </w:tcPr>
          <w:p w14:paraId="4408BD61"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t>Environmental Efficiency (FADN)</w:t>
            </w:r>
          </w:p>
        </w:tc>
        <w:tc>
          <w:tcPr>
            <w:tcW w:w="1700" w:type="dxa"/>
            <w:tcBorders>
              <w:top w:val="nil"/>
              <w:left w:val="nil"/>
              <w:bottom w:val="single" w:sz="4" w:space="0" w:color="auto"/>
              <w:right w:val="single" w:sz="4" w:space="0" w:color="auto"/>
            </w:tcBorders>
            <w:vAlign w:val="center"/>
            <w:hideMark/>
          </w:tcPr>
          <w:p w14:paraId="1E5613B9"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Fertilization intensity</w:t>
            </w:r>
          </w:p>
        </w:tc>
        <w:tc>
          <w:tcPr>
            <w:tcW w:w="2300" w:type="dxa"/>
            <w:tcBorders>
              <w:top w:val="nil"/>
              <w:left w:val="nil"/>
              <w:bottom w:val="single" w:sz="4" w:space="0" w:color="auto"/>
              <w:right w:val="single" w:sz="4" w:space="0" w:color="auto"/>
            </w:tcBorders>
            <w:vAlign w:val="center"/>
            <w:hideMark/>
          </w:tcPr>
          <w:p w14:paraId="673F5FB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 coefficient of fertilizer costs: (SE295/SE025)BG / (SE295/SE025)EU (€/ha)</w:t>
            </w:r>
          </w:p>
        </w:tc>
        <w:tc>
          <w:tcPr>
            <w:tcW w:w="1740" w:type="dxa"/>
            <w:tcBorders>
              <w:top w:val="nil"/>
              <w:left w:val="nil"/>
              <w:bottom w:val="single" w:sz="4" w:space="0" w:color="auto"/>
              <w:right w:val="single" w:sz="4" w:space="0" w:color="auto"/>
            </w:tcBorders>
            <w:vAlign w:val="center"/>
            <w:hideMark/>
          </w:tcPr>
          <w:p w14:paraId="0548FD6E"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w:t>
            </w:r>
          </w:p>
        </w:tc>
        <w:tc>
          <w:tcPr>
            <w:tcW w:w="1680" w:type="dxa"/>
            <w:tcBorders>
              <w:top w:val="nil"/>
              <w:left w:val="nil"/>
              <w:bottom w:val="single" w:sz="4" w:space="0" w:color="auto"/>
              <w:right w:val="single" w:sz="4" w:space="0" w:color="auto"/>
            </w:tcBorders>
            <w:vAlign w:val="center"/>
            <w:hideMark/>
          </w:tcPr>
          <w:p w14:paraId="5C2F0CAC"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Holding; comparison with the EU</w:t>
            </w:r>
          </w:p>
        </w:tc>
        <w:tc>
          <w:tcPr>
            <w:tcW w:w="1780" w:type="dxa"/>
            <w:tcBorders>
              <w:top w:val="nil"/>
              <w:left w:val="nil"/>
              <w:bottom w:val="single" w:sz="4" w:space="0" w:color="auto"/>
              <w:right w:val="single" w:sz="4" w:space="0" w:color="auto"/>
            </w:tcBorders>
            <w:vAlign w:val="center"/>
            <w:hideMark/>
          </w:tcPr>
          <w:p w14:paraId="140606A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 H3</w:t>
            </w:r>
          </w:p>
        </w:tc>
      </w:tr>
      <w:tr w:rsidR="000425EF" w:rsidRPr="000425EF" w14:paraId="7AA35CB8" w14:textId="77777777" w:rsidTr="000425EF">
        <w:trPr>
          <w:trHeight w:val="4992"/>
          <w:jc w:val="center"/>
        </w:trPr>
        <w:tc>
          <w:tcPr>
            <w:tcW w:w="1580" w:type="dxa"/>
            <w:tcBorders>
              <w:top w:val="nil"/>
              <w:left w:val="single" w:sz="4" w:space="0" w:color="auto"/>
              <w:bottom w:val="single" w:sz="4" w:space="0" w:color="auto"/>
              <w:right w:val="single" w:sz="4" w:space="0" w:color="auto"/>
            </w:tcBorders>
            <w:vAlign w:val="center"/>
            <w:hideMark/>
          </w:tcPr>
          <w:p w14:paraId="4CB305F4"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lastRenderedPageBreak/>
              <w:t> </w:t>
            </w:r>
          </w:p>
        </w:tc>
        <w:tc>
          <w:tcPr>
            <w:tcW w:w="1700" w:type="dxa"/>
            <w:tcBorders>
              <w:top w:val="nil"/>
              <w:left w:val="nil"/>
              <w:bottom w:val="single" w:sz="4" w:space="0" w:color="auto"/>
              <w:right w:val="single" w:sz="4" w:space="0" w:color="auto"/>
            </w:tcBorders>
            <w:vAlign w:val="center"/>
            <w:hideMark/>
          </w:tcPr>
          <w:p w14:paraId="0AF83D35"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Plant protection intensity</w:t>
            </w:r>
          </w:p>
        </w:tc>
        <w:tc>
          <w:tcPr>
            <w:tcW w:w="2300" w:type="dxa"/>
            <w:tcBorders>
              <w:top w:val="nil"/>
              <w:left w:val="nil"/>
              <w:bottom w:val="single" w:sz="4" w:space="0" w:color="auto"/>
              <w:right w:val="single" w:sz="4" w:space="0" w:color="auto"/>
            </w:tcBorders>
            <w:vAlign w:val="center"/>
            <w:hideMark/>
          </w:tcPr>
          <w:p w14:paraId="7050CC61"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 coefficient of PPP (plant protection products) costs: (SE300/SE025)BG / (SE300/SE025)EU (€/ha)</w:t>
            </w:r>
          </w:p>
        </w:tc>
        <w:tc>
          <w:tcPr>
            <w:tcW w:w="1740" w:type="dxa"/>
            <w:tcBorders>
              <w:top w:val="nil"/>
              <w:left w:val="nil"/>
              <w:bottom w:val="single" w:sz="4" w:space="0" w:color="auto"/>
              <w:right w:val="single" w:sz="4" w:space="0" w:color="auto"/>
            </w:tcBorders>
            <w:vAlign w:val="center"/>
            <w:hideMark/>
          </w:tcPr>
          <w:p w14:paraId="66BD92EE"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w:t>
            </w:r>
          </w:p>
        </w:tc>
        <w:tc>
          <w:tcPr>
            <w:tcW w:w="1680" w:type="dxa"/>
            <w:tcBorders>
              <w:top w:val="nil"/>
              <w:left w:val="nil"/>
              <w:bottom w:val="single" w:sz="4" w:space="0" w:color="auto"/>
              <w:right w:val="single" w:sz="4" w:space="0" w:color="auto"/>
            </w:tcBorders>
            <w:vAlign w:val="center"/>
            <w:hideMark/>
          </w:tcPr>
          <w:p w14:paraId="11BAB1A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Holding; comparison with the EU</w:t>
            </w:r>
          </w:p>
        </w:tc>
        <w:tc>
          <w:tcPr>
            <w:tcW w:w="1780" w:type="dxa"/>
            <w:tcBorders>
              <w:top w:val="nil"/>
              <w:left w:val="nil"/>
              <w:bottom w:val="single" w:sz="4" w:space="0" w:color="auto"/>
              <w:right w:val="single" w:sz="4" w:space="0" w:color="auto"/>
            </w:tcBorders>
            <w:vAlign w:val="center"/>
            <w:hideMark/>
          </w:tcPr>
          <w:p w14:paraId="423EB49A"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 H3</w:t>
            </w:r>
          </w:p>
        </w:tc>
      </w:tr>
      <w:tr w:rsidR="000425EF" w:rsidRPr="000425EF" w14:paraId="340388AB" w14:textId="77777777" w:rsidTr="000425EF">
        <w:trPr>
          <w:trHeight w:val="4992"/>
          <w:jc w:val="center"/>
        </w:trPr>
        <w:tc>
          <w:tcPr>
            <w:tcW w:w="1580" w:type="dxa"/>
            <w:tcBorders>
              <w:top w:val="nil"/>
              <w:left w:val="single" w:sz="4" w:space="0" w:color="auto"/>
              <w:bottom w:val="single" w:sz="4" w:space="0" w:color="auto"/>
              <w:right w:val="single" w:sz="4" w:space="0" w:color="auto"/>
            </w:tcBorders>
            <w:vAlign w:val="center"/>
            <w:hideMark/>
          </w:tcPr>
          <w:p w14:paraId="68290AC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09908CB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Specific resource intensity in livestock breeding</w:t>
            </w:r>
          </w:p>
        </w:tc>
        <w:tc>
          <w:tcPr>
            <w:tcW w:w="2300" w:type="dxa"/>
            <w:tcBorders>
              <w:top w:val="nil"/>
              <w:left w:val="nil"/>
              <w:bottom w:val="single" w:sz="4" w:space="0" w:color="auto"/>
              <w:right w:val="single" w:sz="4" w:space="0" w:color="auto"/>
            </w:tcBorders>
            <w:vAlign w:val="center"/>
            <w:hideMark/>
          </w:tcPr>
          <w:p w14:paraId="09739A22"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 coefficient of specific livestock costs, incl. veterinary: (SE330/SE025)BG / (SE330/SE025)EU (€/ha)</w:t>
            </w:r>
          </w:p>
        </w:tc>
        <w:tc>
          <w:tcPr>
            <w:tcW w:w="1740" w:type="dxa"/>
            <w:tcBorders>
              <w:top w:val="nil"/>
              <w:left w:val="nil"/>
              <w:bottom w:val="single" w:sz="4" w:space="0" w:color="auto"/>
              <w:right w:val="single" w:sz="4" w:space="0" w:color="auto"/>
            </w:tcBorders>
            <w:vAlign w:val="center"/>
            <w:hideMark/>
          </w:tcPr>
          <w:p w14:paraId="32ECC6AC"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FADN</w:t>
            </w:r>
          </w:p>
        </w:tc>
        <w:tc>
          <w:tcPr>
            <w:tcW w:w="1680" w:type="dxa"/>
            <w:tcBorders>
              <w:top w:val="nil"/>
              <w:left w:val="nil"/>
              <w:bottom w:val="single" w:sz="4" w:space="0" w:color="auto"/>
              <w:right w:val="single" w:sz="4" w:space="0" w:color="auto"/>
            </w:tcBorders>
            <w:vAlign w:val="center"/>
            <w:hideMark/>
          </w:tcPr>
          <w:p w14:paraId="408E706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Holding; comparison with the EU</w:t>
            </w:r>
          </w:p>
        </w:tc>
        <w:tc>
          <w:tcPr>
            <w:tcW w:w="1780" w:type="dxa"/>
            <w:tcBorders>
              <w:top w:val="nil"/>
              <w:left w:val="nil"/>
              <w:bottom w:val="single" w:sz="4" w:space="0" w:color="auto"/>
              <w:right w:val="single" w:sz="4" w:space="0" w:color="auto"/>
            </w:tcBorders>
            <w:vAlign w:val="center"/>
            <w:hideMark/>
          </w:tcPr>
          <w:p w14:paraId="337BEB6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 H3</w:t>
            </w:r>
          </w:p>
        </w:tc>
      </w:tr>
      <w:tr w:rsidR="000425EF" w:rsidRPr="000425EF" w14:paraId="4B786984" w14:textId="77777777" w:rsidTr="000425EF">
        <w:trPr>
          <w:trHeight w:val="1872"/>
          <w:jc w:val="center"/>
        </w:trPr>
        <w:tc>
          <w:tcPr>
            <w:tcW w:w="1580" w:type="dxa"/>
            <w:tcBorders>
              <w:top w:val="nil"/>
              <w:left w:val="single" w:sz="4" w:space="0" w:color="auto"/>
              <w:bottom w:val="single" w:sz="4" w:space="0" w:color="auto"/>
              <w:right w:val="single" w:sz="4" w:space="0" w:color="auto"/>
            </w:tcBorders>
            <w:vAlign w:val="center"/>
            <w:hideMark/>
          </w:tcPr>
          <w:p w14:paraId="069EDA52"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t>Environmental Efficiency (Case Studies)</w:t>
            </w:r>
          </w:p>
        </w:tc>
        <w:tc>
          <w:tcPr>
            <w:tcW w:w="1700" w:type="dxa"/>
            <w:tcBorders>
              <w:top w:val="nil"/>
              <w:left w:val="nil"/>
              <w:bottom w:val="single" w:sz="4" w:space="0" w:color="auto"/>
              <w:right w:val="single" w:sz="4" w:space="0" w:color="auto"/>
            </w:tcBorders>
            <w:vAlign w:val="center"/>
            <w:hideMark/>
          </w:tcPr>
          <w:p w14:paraId="172A393C"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Nitrogen efficiency</w:t>
            </w:r>
          </w:p>
        </w:tc>
        <w:tc>
          <w:tcPr>
            <w:tcW w:w="2300" w:type="dxa"/>
            <w:tcBorders>
              <w:top w:val="nil"/>
              <w:left w:val="nil"/>
              <w:bottom w:val="single" w:sz="4" w:space="0" w:color="auto"/>
              <w:right w:val="single" w:sz="4" w:space="0" w:color="auto"/>
            </w:tcBorders>
            <w:vAlign w:val="center"/>
            <w:hideMark/>
          </w:tcPr>
          <w:p w14:paraId="49E2642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NUE = Q/N (tons yield/kg applied N)</w:t>
            </w:r>
          </w:p>
        </w:tc>
        <w:tc>
          <w:tcPr>
            <w:tcW w:w="1740" w:type="dxa"/>
            <w:tcBorders>
              <w:top w:val="nil"/>
              <w:left w:val="nil"/>
              <w:bottom w:val="single" w:sz="4" w:space="0" w:color="auto"/>
              <w:right w:val="single" w:sz="4" w:space="0" w:color="auto"/>
            </w:tcBorders>
            <w:vAlign w:val="center"/>
            <w:hideMark/>
          </w:tcPr>
          <w:p w14:paraId="0D29E0BA"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Case studies; laboratory analyses</w:t>
            </w:r>
          </w:p>
        </w:tc>
        <w:tc>
          <w:tcPr>
            <w:tcW w:w="1680" w:type="dxa"/>
            <w:tcBorders>
              <w:top w:val="nil"/>
              <w:left w:val="nil"/>
              <w:bottom w:val="single" w:sz="4" w:space="0" w:color="auto"/>
              <w:right w:val="single" w:sz="4" w:space="0" w:color="auto"/>
            </w:tcBorders>
            <w:vAlign w:val="center"/>
            <w:hideMark/>
          </w:tcPr>
          <w:p w14:paraId="1A9EF2E6"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Holding; by practices</w:t>
            </w:r>
          </w:p>
        </w:tc>
        <w:tc>
          <w:tcPr>
            <w:tcW w:w="1780" w:type="dxa"/>
            <w:tcBorders>
              <w:top w:val="nil"/>
              <w:left w:val="nil"/>
              <w:bottom w:val="single" w:sz="4" w:space="0" w:color="auto"/>
              <w:right w:val="single" w:sz="4" w:space="0" w:color="auto"/>
            </w:tcBorders>
            <w:vAlign w:val="center"/>
            <w:hideMark/>
          </w:tcPr>
          <w:p w14:paraId="5ED9254A"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2CD688A9" w14:textId="77777777" w:rsidTr="000425EF">
        <w:trPr>
          <w:trHeight w:val="1872"/>
          <w:jc w:val="center"/>
        </w:trPr>
        <w:tc>
          <w:tcPr>
            <w:tcW w:w="1580" w:type="dxa"/>
            <w:tcBorders>
              <w:top w:val="nil"/>
              <w:left w:val="single" w:sz="4" w:space="0" w:color="auto"/>
              <w:bottom w:val="single" w:sz="4" w:space="0" w:color="auto"/>
              <w:right w:val="single" w:sz="4" w:space="0" w:color="auto"/>
            </w:tcBorders>
            <w:vAlign w:val="center"/>
            <w:hideMark/>
          </w:tcPr>
          <w:p w14:paraId="6574BA6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lastRenderedPageBreak/>
              <w:t> </w:t>
            </w:r>
          </w:p>
        </w:tc>
        <w:tc>
          <w:tcPr>
            <w:tcW w:w="1700" w:type="dxa"/>
            <w:tcBorders>
              <w:top w:val="nil"/>
              <w:left w:val="nil"/>
              <w:bottom w:val="single" w:sz="4" w:space="0" w:color="auto"/>
              <w:right w:val="single" w:sz="4" w:space="0" w:color="auto"/>
            </w:tcBorders>
            <w:vAlign w:val="center"/>
            <w:hideMark/>
          </w:tcPr>
          <w:p w14:paraId="4A20E0C2"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Carbon intensity</w:t>
            </w:r>
          </w:p>
        </w:tc>
        <w:tc>
          <w:tcPr>
            <w:tcW w:w="2300" w:type="dxa"/>
            <w:tcBorders>
              <w:top w:val="nil"/>
              <w:left w:val="nil"/>
              <w:bottom w:val="single" w:sz="4" w:space="0" w:color="auto"/>
              <w:right w:val="single" w:sz="4" w:space="0" w:color="auto"/>
            </w:tcBorders>
            <w:vAlign w:val="center"/>
            <w:hideMark/>
          </w:tcPr>
          <w:p w14:paraId="6A5B414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CI = GHG(N,E)/Q (kg CO₂ eq/ton output)</w:t>
            </w:r>
          </w:p>
        </w:tc>
        <w:tc>
          <w:tcPr>
            <w:tcW w:w="1740" w:type="dxa"/>
            <w:tcBorders>
              <w:top w:val="nil"/>
              <w:left w:val="nil"/>
              <w:bottom w:val="single" w:sz="4" w:space="0" w:color="auto"/>
              <w:right w:val="single" w:sz="4" w:space="0" w:color="auto"/>
            </w:tcBorders>
            <w:vAlign w:val="center"/>
            <w:hideMark/>
          </w:tcPr>
          <w:p w14:paraId="49E5041C"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Case studies; emission coefficients</w:t>
            </w:r>
          </w:p>
        </w:tc>
        <w:tc>
          <w:tcPr>
            <w:tcW w:w="1680" w:type="dxa"/>
            <w:tcBorders>
              <w:top w:val="nil"/>
              <w:left w:val="nil"/>
              <w:bottom w:val="single" w:sz="4" w:space="0" w:color="auto"/>
              <w:right w:val="single" w:sz="4" w:space="0" w:color="auto"/>
            </w:tcBorders>
            <w:vAlign w:val="center"/>
            <w:hideMark/>
          </w:tcPr>
          <w:p w14:paraId="71DB778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Holding; by practices</w:t>
            </w:r>
          </w:p>
        </w:tc>
        <w:tc>
          <w:tcPr>
            <w:tcW w:w="1780" w:type="dxa"/>
            <w:tcBorders>
              <w:top w:val="nil"/>
              <w:left w:val="nil"/>
              <w:bottom w:val="single" w:sz="4" w:space="0" w:color="auto"/>
              <w:right w:val="single" w:sz="4" w:space="0" w:color="auto"/>
            </w:tcBorders>
            <w:vAlign w:val="center"/>
            <w:hideMark/>
          </w:tcPr>
          <w:p w14:paraId="0B85F361"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3EB90958" w14:textId="77777777" w:rsidTr="000425EF">
        <w:trPr>
          <w:trHeight w:val="1872"/>
          <w:jc w:val="center"/>
        </w:trPr>
        <w:tc>
          <w:tcPr>
            <w:tcW w:w="1580" w:type="dxa"/>
            <w:tcBorders>
              <w:top w:val="nil"/>
              <w:left w:val="single" w:sz="4" w:space="0" w:color="auto"/>
              <w:bottom w:val="single" w:sz="4" w:space="0" w:color="auto"/>
              <w:right w:val="single" w:sz="4" w:space="0" w:color="auto"/>
            </w:tcBorders>
            <w:vAlign w:val="center"/>
            <w:hideMark/>
          </w:tcPr>
          <w:p w14:paraId="3D458C9E"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30305F58"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Water productivity</w:t>
            </w:r>
          </w:p>
        </w:tc>
        <w:tc>
          <w:tcPr>
            <w:tcW w:w="2300" w:type="dxa"/>
            <w:tcBorders>
              <w:top w:val="nil"/>
              <w:left w:val="nil"/>
              <w:bottom w:val="single" w:sz="4" w:space="0" w:color="auto"/>
              <w:right w:val="single" w:sz="4" w:space="0" w:color="auto"/>
            </w:tcBorders>
            <w:vAlign w:val="center"/>
            <w:hideMark/>
          </w:tcPr>
          <w:p w14:paraId="4AC6738E"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WP = Q/W (tons output/m³ water used)</w:t>
            </w:r>
          </w:p>
        </w:tc>
        <w:tc>
          <w:tcPr>
            <w:tcW w:w="1740" w:type="dxa"/>
            <w:tcBorders>
              <w:top w:val="nil"/>
              <w:left w:val="nil"/>
              <w:bottom w:val="single" w:sz="4" w:space="0" w:color="auto"/>
              <w:right w:val="single" w:sz="4" w:space="0" w:color="auto"/>
            </w:tcBorders>
            <w:vAlign w:val="center"/>
            <w:hideMark/>
          </w:tcPr>
          <w:p w14:paraId="3A4BFE74"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Case studies</w:t>
            </w:r>
          </w:p>
        </w:tc>
        <w:tc>
          <w:tcPr>
            <w:tcW w:w="1680" w:type="dxa"/>
            <w:tcBorders>
              <w:top w:val="nil"/>
              <w:left w:val="nil"/>
              <w:bottom w:val="single" w:sz="4" w:space="0" w:color="auto"/>
              <w:right w:val="single" w:sz="4" w:space="0" w:color="auto"/>
            </w:tcBorders>
            <w:vAlign w:val="center"/>
            <w:hideMark/>
          </w:tcPr>
          <w:p w14:paraId="106D8940"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Holding; by practices</w:t>
            </w:r>
          </w:p>
        </w:tc>
        <w:tc>
          <w:tcPr>
            <w:tcW w:w="1780" w:type="dxa"/>
            <w:tcBorders>
              <w:top w:val="nil"/>
              <w:left w:val="nil"/>
              <w:bottom w:val="single" w:sz="4" w:space="0" w:color="auto"/>
              <w:right w:val="single" w:sz="4" w:space="0" w:color="auto"/>
            </w:tcBorders>
            <w:vAlign w:val="center"/>
            <w:hideMark/>
          </w:tcPr>
          <w:p w14:paraId="55371F4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45D2DA4E" w14:textId="77777777" w:rsidTr="000425EF">
        <w:trPr>
          <w:trHeight w:val="5616"/>
          <w:jc w:val="center"/>
        </w:trPr>
        <w:tc>
          <w:tcPr>
            <w:tcW w:w="1580" w:type="dxa"/>
            <w:tcBorders>
              <w:top w:val="nil"/>
              <w:left w:val="single" w:sz="4" w:space="0" w:color="auto"/>
              <w:bottom w:val="single" w:sz="4" w:space="0" w:color="auto"/>
              <w:right w:val="single" w:sz="4" w:space="0" w:color="auto"/>
            </w:tcBorders>
            <w:vAlign w:val="center"/>
            <w:hideMark/>
          </w:tcPr>
          <w:p w14:paraId="5BA8412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60D90468"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Eco-efficiency (total)</w:t>
            </w:r>
          </w:p>
        </w:tc>
        <w:tc>
          <w:tcPr>
            <w:tcW w:w="2300" w:type="dxa"/>
            <w:tcBorders>
              <w:top w:val="nil"/>
              <w:left w:val="nil"/>
              <w:bottom w:val="single" w:sz="4" w:space="0" w:color="auto"/>
              <w:right w:val="single" w:sz="4" w:space="0" w:color="auto"/>
            </w:tcBorders>
            <w:vAlign w:val="center"/>
            <w:hideMark/>
          </w:tcPr>
          <w:p w14:paraId="008AF84E"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EE = V/EI (output value BGN/ha relative to aggregated environmental pressure); dynamic index ΔEE = EEt+1/</w:t>
            </w:r>
            <w:proofErr w:type="spellStart"/>
            <w:r w:rsidRPr="000425EF">
              <w:rPr>
                <w:rFonts w:ascii="Times New Roman" w:eastAsia="Times New Roman" w:hAnsi="Times New Roman" w:cs="Times New Roman"/>
                <w:color w:val="1F1F1F"/>
                <w:kern w:val="0"/>
                <w14:ligatures w14:val="none"/>
              </w:rPr>
              <w:t>EEt</w:t>
            </w:r>
            <w:proofErr w:type="spellEnd"/>
          </w:p>
        </w:tc>
        <w:tc>
          <w:tcPr>
            <w:tcW w:w="1740" w:type="dxa"/>
            <w:tcBorders>
              <w:top w:val="nil"/>
              <w:left w:val="nil"/>
              <w:bottom w:val="single" w:sz="4" w:space="0" w:color="auto"/>
              <w:right w:val="single" w:sz="4" w:space="0" w:color="auto"/>
            </w:tcBorders>
            <w:vAlign w:val="center"/>
            <w:hideMark/>
          </w:tcPr>
          <w:p w14:paraId="6E6478B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Case studies</w:t>
            </w:r>
          </w:p>
        </w:tc>
        <w:tc>
          <w:tcPr>
            <w:tcW w:w="1680" w:type="dxa"/>
            <w:tcBorders>
              <w:top w:val="nil"/>
              <w:left w:val="nil"/>
              <w:bottom w:val="single" w:sz="4" w:space="0" w:color="auto"/>
              <w:right w:val="single" w:sz="4" w:space="0" w:color="auto"/>
            </w:tcBorders>
            <w:vAlign w:val="center"/>
            <w:hideMark/>
          </w:tcPr>
          <w:p w14:paraId="1F78D18A"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Holding; by practices</w:t>
            </w:r>
          </w:p>
        </w:tc>
        <w:tc>
          <w:tcPr>
            <w:tcW w:w="1780" w:type="dxa"/>
            <w:tcBorders>
              <w:top w:val="nil"/>
              <w:left w:val="nil"/>
              <w:bottom w:val="single" w:sz="4" w:space="0" w:color="auto"/>
              <w:right w:val="single" w:sz="4" w:space="0" w:color="auto"/>
            </w:tcBorders>
            <w:vAlign w:val="center"/>
            <w:hideMark/>
          </w:tcPr>
          <w:p w14:paraId="790B6948"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2812C4BE" w14:textId="77777777" w:rsidTr="000425EF">
        <w:trPr>
          <w:trHeight w:val="4680"/>
          <w:jc w:val="center"/>
        </w:trPr>
        <w:tc>
          <w:tcPr>
            <w:tcW w:w="1580" w:type="dxa"/>
            <w:tcBorders>
              <w:top w:val="nil"/>
              <w:left w:val="single" w:sz="4" w:space="0" w:color="auto"/>
              <w:bottom w:val="single" w:sz="4" w:space="0" w:color="auto"/>
              <w:right w:val="single" w:sz="4" w:space="0" w:color="auto"/>
            </w:tcBorders>
            <w:vAlign w:val="center"/>
            <w:hideMark/>
          </w:tcPr>
          <w:p w14:paraId="450DB296"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lastRenderedPageBreak/>
              <w:t>Attitudes and Adaptive Capacity</w:t>
            </w:r>
          </w:p>
        </w:tc>
        <w:tc>
          <w:tcPr>
            <w:tcW w:w="1700" w:type="dxa"/>
            <w:tcBorders>
              <w:top w:val="nil"/>
              <w:left w:val="nil"/>
              <w:bottom w:val="single" w:sz="4" w:space="0" w:color="auto"/>
              <w:right w:val="single" w:sz="4" w:space="0" w:color="auto"/>
            </w:tcBorders>
            <w:vAlign w:val="center"/>
            <w:hideMark/>
          </w:tcPr>
          <w:p w14:paraId="3988EC93"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Awareness of the Green Deal</w:t>
            </w:r>
          </w:p>
        </w:tc>
        <w:tc>
          <w:tcPr>
            <w:tcW w:w="2300" w:type="dxa"/>
            <w:tcBorders>
              <w:top w:val="nil"/>
              <w:left w:val="nil"/>
              <w:bottom w:val="single" w:sz="4" w:space="0" w:color="auto"/>
              <w:right w:val="single" w:sz="4" w:space="0" w:color="auto"/>
            </w:tcBorders>
            <w:vAlign w:val="center"/>
            <w:hideMark/>
          </w:tcPr>
          <w:p w14:paraId="54E89333"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Share of farmers by level of awareness: very well / partially / superficially / not familiar at all (%)</w:t>
            </w:r>
          </w:p>
        </w:tc>
        <w:tc>
          <w:tcPr>
            <w:tcW w:w="1740" w:type="dxa"/>
            <w:tcBorders>
              <w:top w:val="nil"/>
              <w:left w:val="nil"/>
              <w:bottom w:val="single" w:sz="4" w:space="0" w:color="auto"/>
              <w:right w:val="single" w:sz="4" w:space="0" w:color="auto"/>
            </w:tcBorders>
            <w:vAlign w:val="center"/>
            <w:hideMark/>
          </w:tcPr>
          <w:p w14:paraId="7963F686"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Survey (n=92); focus groups</w:t>
            </w:r>
          </w:p>
        </w:tc>
        <w:tc>
          <w:tcPr>
            <w:tcW w:w="1680" w:type="dxa"/>
            <w:tcBorders>
              <w:top w:val="nil"/>
              <w:left w:val="nil"/>
              <w:bottom w:val="single" w:sz="4" w:space="0" w:color="auto"/>
              <w:right w:val="single" w:sz="4" w:space="0" w:color="auto"/>
            </w:tcBorders>
            <w:vAlign w:val="center"/>
            <w:hideMark/>
          </w:tcPr>
          <w:p w14:paraId="0AF55B35"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Sector</w:t>
            </w:r>
          </w:p>
        </w:tc>
        <w:tc>
          <w:tcPr>
            <w:tcW w:w="1780" w:type="dxa"/>
            <w:tcBorders>
              <w:top w:val="nil"/>
              <w:left w:val="nil"/>
              <w:bottom w:val="single" w:sz="4" w:space="0" w:color="auto"/>
              <w:right w:val="single" w:sz="4" w:space="0" w:color="auto"/>
            </w:tcBorders>
            <w:vAlign w:val="center"/>
            <w:hideMark/>
          </w:tcPr>
          <w:p w14:paraId="01B8C2B8"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5DB3303E" w14:textId="77777777" w:rsidTr="000425EF">
        <w:trPr>
          <w:trHeight w:val="3744"/>
          <w:jc w:val="center"/>
        </w:trPr>
        <w:tc>
          <w:tcPr>
            <w:tcW w:w="1580" w:type="dxa"/>
            <w:tcBorders>
              <w:top w:val="nil"/>
              <w:left w:val="single" w:sz="4" w:space="0" w:color="auto"/>
              <w:bottom w:val="single" w:sz="4" w:space="0" w:color="auto"/>
              <w:right w:val="single" w:sz="4" w:space="0" w:color="auto"/>
            </w:tcBorders>
            <w:vAlign w:val="center"/>
            <w:hideMark/>
          </w:tcPr>
          <w:p w14:paraId="731273D5"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25F295D0"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Expected impact of the Green Deal</w:t>
            </w:r>
          </w:p>
        </w:tc>
        <w:tc>
          <w:tcPr>
            <w:tcW w:w="2300" w:type="dxa"/>
            <w:tcBorders>
              <w:top w:val="nil"/>
              <w:left w:val="nil"/>
              <w:bottom w:val="single" w:sz="4" w:space="0" w:color="auto"/>
              <w:right w:val="single" w:sz="4" w:space="0" w:color="auto"/>
            </w:tcBorders>
            <w:vAlign w:val="center"/>
            <w:hideMark/>
          </w:tcPr>
          <w:p w14:paraId="666A0189"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Share of farmers expecting negative / neutral / positive impact on the holding (%)</w:t>
            </w:r>
          </w:p>
        </w:tc>
        <w:tc>
          <w:tcPr>
            <w:tcW w:w="1740" w:type="dxa"/>
            <w:tcBorders>
              <w:top w:val="nil"/>
              <w:left w:val="nil"/>
              <w:bottom w:val="single" w:sz="4" w:space="0" w:color="auto"/>
              <w:right w:val="single" w:sz="4" w:space="0" w:color="auto"/>
            </w:tcBorders>
            <w:vAlign w:val="center"/>
            <w:hideMark/>
          </w:tcPr>
          <w:p w14:paraId="0BC9CEB9"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Survey; focus groups</w:t>
            </w:r>
          </w:p>
        </w:tc>
        <w:tc>
          <w:tcPr>
            <w:tcW w:w="1680" w:type="dxa"/>
            <w:tcBorders>
              <w:top w:val="nil"/>
              <w:left w:val="nil"/>
              <w:bottom w:val="single" w:sz="4" w:space="0" w:color="auto"/>
              <w:right w:val="single" w:sz="4" w:space="0" w:color="auto"/>
            </w:tcBorders>
            <w:vAlign w:val="center"/>
            <w:hideMark/>
          </w:tcPr>
          <w:p w14:paraId="580C3C8A"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Sector</w:t>
            </w:r>
          </w:p>
        </w:tc>
        <w:tc>
          <w:tcPr>
            <w:tcW w:w="1780" w:type="dxa"/>
            <w:tcBorders>
              <w:top w:val="nil"/>
              <w:left w:val="nil"/>
              <w:bottom w:val="single" w:sz="4" w:space="0" w:color="auto"/>
              <w:right w:val="single" w:sz="4" w:space="0" w:color="auto"/>
            </w:tcBorders>
            <w:vAlign w:val="center"/>
            <w:hideMark/>
          </w:tcPr>
          <w:p w14:paraId="687B4FD9"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3D56B708" w14:textId="77777777" w:rsidTr="000425EF">
        <w:trPr>
          <w:trHeight w:val="4056"/>
          <w:jc w:val="center"/>
        </w:trPr>
        <w:tc>
          <w:tcPr>
            <w:tcW w:w="1580" w:type="dxa"/>
            <w:tcBorders>
              <w:top w:val="nil"/>
              <w:left w:val="single" w:sz="4" w:space="0" w:color="auto"/>
              <w:bottom w:val="single" w:sz="4" w:space="0" w:color="auto"/>
              <w:right w:val="single" w:sz="4" w:space="0" w:color="auto"/>
            </w:tcBorders>
            <w:vAlign w:val="center"/>
            <w:hideMark/>
          </w:tcPr>
          <w:p w14:paraId="3E4E9064"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67062C4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Readiness to implement sustainable practices</w:t>
            </w:r>
          </w:p>
        </w:tc>
        <w:tc>
          <w:tcPr>
            <w:tcW w:w="2300" w:type="dxa"/>
            <w:tcBorders>
              <w:top w:val="nil"/>
              <w:left w:val="nil"/>
              <w:bottom w:val="single" w:sz="4" w:space="0" w:color="auto"/>
              <w:right w:val="single" w:sz="4" w:space="0" w:color="auto"/>
            </w:tcBorders>
            <w:vAlign w:val="center"/>
            <w:hideMark/>
          </w:tcPr>
          <w:p w14:paraId="72DEC6A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Share of holdings ready to invest in sustainable practices within 1–3 years (%)</w:t>
            </w:r>
          </w:p>
        </w:tc>
        <w:tc>
          <w:tcPr>
            <w:tcW w:w="1740" w:type="dxa"/>
            <w:tcBorders>
              <w:top w:val="nil"/>
              <w:left w:val="nil"/>
              <w:bottom w:val="single" w:sz="4" w:space="0" w:color="auto"/>
              <w:right w:val="single" w:sz="4" w:space="0" w:color="auto"/>
            </w:tcBorders>
            <w:vAlign w:val="center"/>
            <w:hideMark/>
          </w:tcPr>
          <w:p w14:paraId="67792EA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Survey; focus groups</w:t>
            </w:r>
          </w:p>
        </w:tc>
        <w:tc>
          <w:tcPr>
            <w:tcW w:w="1680" w:type="dxa"/>
            <w:tcBorders>
              <w:top w:val="nil"/>
              <w:left w:val="nil"/>
              <w:bottom w:val="single" w:sz="4" w:space="0" w:color="auto"/>
              <w:right w:val="single" w:sz="4" w:space="0" w:color="auto"/>
            </w:tcBorders>
            <w:vAlign w:val="center"/>
            <w:hideMark/>
          </w:tcPr>
          <w:p w14:paraId="2F004325"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Sector</w:t>
            </w:r>
          </w:p>
        </w:tc>
        <w:tc>
          <w:tcPr>
            <w:tcW w:w="1780" w:type="dxa"/>
            <w:tcBorders>
              <w:top w:val="nil"/>
              <w:left w:val="nil"/>
              <w:bottom w:val="single" w:sz="4" w:space="0" w:color="auto"/>
              <w:right w:val="single" w:sz="4" w:space="0" w:color="auto"/>
            </w:tcBorders>
            <w:vAlign w:val="center"/>
            <w:hideMark/>
          </w:tcPr>
          <w:p w14:paraId="381CA0E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55D79342" w14:textId="77777777" w:rsidTr="000425EF">
        <w:trPr>
          <w:trHeight w:val="4368"/>
          <w:jc w:val="center"/>
        </w:trPr>
        <w:tc>
          <w:tcPr>
            <w:tcW w:w="1580" w:type="dxa"/>
            <w:tcBorders>
              <w:top w:val="nil"/>
              <w:left w:val="single" w:sz="4" w:space="0" w:color="auto"/>
              <w:bottom w:val="single" w:sz="4" w:space="0" w:color="auto"/>
              <w:right w:val="single" w:sz="4" w:space="0" w:color="auto"/>
            </w:tcBorders>
            <w:vAlign w:val="center"/>
            <w:hideMark/>
          </w:tcPr>
          <w:p w14:paraId="42B88F50"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lastRenderedPageBreak/>
              <w:t> </w:t>
            </w:r>
          </w:p>
        </w:tc>
        <w:tc>
          <w:tcPr>
            <w:tcW w:w="1700" w:type="dxa"/>
            <w:tcBorders>
              <w:top w:val="nil"/>
              <w:left w:val="nil"/>
              <w:bottom w:val="single" w:sz="4" w:space="0" w:color="auto"/>
              <w:right w:val="single" w:sz="4" w:space="0" w:color="auto"/>
            </w:tcBorders>
            <w:vAlign w:val="center"/>
            <w:hideMark/>
          </w:tcPr>
          <w:p w14:paraId="3D5ECEF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Financial and institutional barriers</w:t>
            </w:r>
          </w:p>
        </w:tc>
        <w:tc>
          <w:tcPr>
            <w:tcW w:w="2300" w:type="dxa"/>
            <w:tcBorders>
              <w:top w:val="nil"/>
              <w:left w:val="nil"/>
              <w:bottom w:val="single" w:sz="4" w:space="0" w:color="auto"/>
              <w:right w:val="single" w:sz="4" w:space="0" w:color="auto"/>
            </w:tcBorders>
            <w:vAlign w:val="center"/>
            <w:hideMark/>
          </w:tcPr>
          <w:p w14:paraId="7937EBC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Share of farmers citing financial / informational / regulatory barriers as the leading obstacle (%)</w:t>
            </w:r>
          </w:p>
        </w:tc>
        <w:tc>
          <w:tcPr>
            <w:tcW w:w="1740" w:type="dxa"/>
            <w:tcBorders>
              <w:top w:val="nil"/>
              <w:left w:val="nil"/>
              <w:bottom w:val="single" w:sz="4" w:space="0" w:color="auto"/>
              <w:right w:val="single" w:sz="4" w:space="0" w:color="auto"/>
            </w:tcBorders>
            <w:vAlign w:val="center"/>
            <w:hideMark/>
          </w:tcPr>
          <w:p w14:paraId="715DBEC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Survey; focus groups</w:t>
            </w:r>
          </w:p>
        </w:tc>
        <w:tc>
          <w:tcPr>
            <w:tcW w:w="1680" w:type="dxa"/>
            <w:tcBorders>
              <w:top w:val="nil"/>
              <w:left w:val="nil"/>
              <w:bottom w:val="single" w:sz="4" w:space="0" w:color="auto"/>
              <w:right w:val="single" w:sz="4" w:space="0" w:color="auto"/>
            </w:tcBorders>
            <w:vAlign w:val="center"/>
            <w:hideMark/>
          </w:tcPr>
          <w:p w14:paraId="346DF2FA"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Sector</w:t>
            </w:r>
          </w:p>
        </w:tc>
        <w:tc>
          <w:tcPr>
            <w:tcW w:w="1780" w:type="dxa"/>
            <w:tcBorders>
              <w:top w:val="nil"/>
              <w:left w:val="nil"/>
              <w:bottom w:val="single" w:sz="4" w:space="0" w:color="auto"/>
              <w:right w:val="single" w:sz="4" w:space="0" w:color="auto"/>
            </w:tcBorders>
            <w:vAlign w:val="center"/>
            <w:hideMark/>
          </w:tcPr>
          <w:p w14:paraId="790F2A52"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06C290C9" w14:textId="77777777" w:rsidTr="000425EF">
        <w:trPr>
          <w:trHeight w:val="4056"/>
          <w:jc w:val="center"/>
        </w:trPr>
        <w:tc>
          <w:tcPr>
            <w:tcW w:w="1580" w:type="dxa"/>
            <w:tcBorders>
              <w:top w:val="nil"/>
              <w:left w:val="single" w:sz="4" w:space="0" w:color="auto"/>
              <w:bottom w:val="single" w:sz="4" w:space="0" w:color="auto"/>
              <w:right w:val="single" w:sz="4" w:space="0" w:color="auto"/>
            </w:tcBorders>
            <w:vAlign w:val="center"/>
            <w:hideMark/>
          </w:tcPr>
          <w:p w14:paraId="4A393466"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t>Strategic Position</w:t>
            </w:r>
          </w:p>
        </w:tc>
        <w:tc>
          <w:tcPr>
            <w:tcW w:w="1700" w:type="dxa"/>
            <w:tcBorders>
              <w:top w:val="nil"/>
              <w:left w:val="nil"/>
              <w:bottom w:val="single" w:sz="4" w:space="0" w:color="auto"/>
              <w:right w:val="single" w:sz="4" w:space="0" w:color="auto"/>
            </w:tcBorders>
            <w:vAlign w:val="center"/>
            <w:hideMark/>
          </w:tcPr>
          <w:p w14:paraId="0F9C1CB3"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Internal strengths</w:t>
            </w:r>
          </w:p>
        </w:tc>
        <w:tc>
          <w:tcPr>
            <w:tcW w:w="2300" w:type="dxa"/>
            <w:tcBorders>
              <w:top w:val="nil"/>
              <w:left w:val="nil"/>
              <w:bottom w:val="single" w:sz="4" w:space="0" w:color="auto"/>
              <w:right w:val="single" w:sz="4" w:space="0" w:color="auto"/>
            </w:tcBorders>
            <w:vAlign w:val="center"/>
            <w:hideMark/>
          </w:tcPr>
          <w:p w14:paraId="7305CB3A"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Identified competitive advantages of the sector, systematized by categories via SWOT matrix</w:t>
            </w:r>
          </w:p>
        </w:tc>
        <w:tc>
          <w:tcPr>
            <w:tcW w:w="1740" w:type="dxa"/>
            <w:tcBorders>
              <w:top w:val="nil"/>
              <w:left w:val="nil"/>
              <w:bottom w:val="single" w:sz="4" w:space="0" w:color="auto"/>
              <w:right w:val="single" w:sz="4" w:space="0" w:color="auto"/>
            </w:tcBorders>
            <w:vAlign w:val="center"/>
            <w:hideMark/>
          </w:tcPr>
          <w:p w14:paraId="405265DC"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SWOT analysis verified by survey results</w:t>
            </w:r>
          </w:p>
        </w:tc>
        <w:tc>
          <w:tcPr>
            <w:tcW w:w="1680" w:type="dxa"/>
            <w:tcBorders>
              <w:top w:val="nil"/>
              <w:left w:val="nil"/>
              <w:bottom w:val="single" w:sz="4" w:space="0" w:color="auto"/>
              <w:right w:val="single" w:sz="4" w:space="0" w:color="auto"/>
            </w:tcBorders>
            <w:vAlign w:val="center"/>
            <w:hideMark/>
          </w:tcPr>
          <w:p w14:paraId="341A7114"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Sector</w:t>
            </w:r>
          </w:p>
        </w:tc>
        <w:tc>
          <w:tcPr>
            <w:tcW w:w="1780" w:type="dxa"/>
            <w:tcBorders>
              <w:top w:val="nil"/>
              <w:left w:val="nil"/>
              <w:bottom w:val="single" w:sz="4" w:space="0" w:color="auto"/>
              <w:right w:val="single" w:sz="4" w:space="0" w:color="auto"/>
            </w:tcBorders>
            <w:vAlign w:val="center"/>
            <w:hideMark/>
          </w:tcPr>
          <w:p w14:paraId="7570E308"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64C935D9" w14:textId="77777777" w:rsidTr="000425EF">
        <w:trPr>
          <w:trHeight w:val="3744"/>
          <w:jc w:val="center"/>
        </w:trPr>
        <w:tc>
          <w:tcPr>
            <w:tcW w:w="1580" w:type="dxa"/>
            <w:tcBorders>
              <w:top w:val="nil"/>
              <w:left w:val="single" w:sz="4" w:space="0" w:color="auto"/>
              <w:bottom w:val="single" w:sz="4" w:space="0" w:color="auto"/>
              <w:right w:val="single" w:sz="4" w:space="0" w:color="auto"/>
            </w:tcBorders>
            <w:vAlign w:val="center"/>
            <w:hideMark/>
          </w:tcPr>
          <w:p w14:paraId="713931A1"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3A31D9A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Internal weaknesses</w:t>
            </w:r>
          </w:p>
        </w:tc>
        <w:tc>
          <w:tcPr>
            <w:tcW w:w="2300" w:type="dxa"/>
            <w:tcBorders>
              <w:top w:val="nil"/>
              <w:left w:val="nil"/>
              <w:bottom w:val="single" w:sz="4" w:space="0" w:color="auto"/>
              <w:right w:val="single" w:sz="4" w:space="0" w:color="auto"/>
            </w:tcBorders>
            <w:vAlign w:val="center"/>
            <w:hideMark/>
          </w:tcPr>
          <w:p w14:paraId="2578F381"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Identified structural constraints, systematized by categories via SWOT matrix</w:t>
            </w:r>
          </w:p>
        </w:tc>
        <w:tc>
          <w:tcPr>
            <w:tcW w:w="1740" w:type="dxa"/>
            <w:tcBorders>
              <w:top w:val="nil"/>
              <w:left w:val="nil"/>
              <w:bottom w:val="single" w:sz="4" w:space="0" w:color="auto"/>
              <w:right w:val="single" w:sz="4" w:space="0" w:color="auto"/>
            </w:tcBorders>
            <w:vAlign w:val="center"/>
            <w:hideMark/>
          </w:tcPr>
          <w:p w14:paraId="2C22690A"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SWOT analysis verified by survey results</w:t>
            </w:r>
          </w:p>
        </w:tc>
        <w:tc>
          <w:tcPr>
            <w:tcW w:w="1680" w:type="dxa"/>
            <w:tcBorders>
              <w:top w:val="nil"/>
              <w:left w:val="nil"/>
              <w:bottom w:val="single" w:sz="4" w:space="0" w:color="auto"/>
              <w:right w:val="single" w:sz="4" w:space="0" w:color="auto"/>
            </w:tcBorders>
            <w:vAlign w:val="center"/>
            <w:hideMark/>
          </w:tcPr>
          <w:p w14:paraId="3F2481E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Sector</w:t>
            </w:r>
          </w:p>
        </w:tc>
        <w:tc>
          <w:tcPr>
            <w:tcW w:w="1780" w:type="dxa"/>
            <w:tcBorders>
              <w:top w:val="nil"/>
              <w:left w:val="nil"/>
              <w:bottom w:val="single" w:sz="4" w:space="0" w:color="auto"/>
              <w:right w:val="single" w:sz="4" w:space="0" w:color="auto"/>
            </w:tcBorders>
            <w:vAlign w:val="center"/>
            <w:hideMark/>
          </w:tcPr>
          <w:p w14:paraId="7698F3A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58DABC0F" w14:textId="77777777" w:rsidTr="000425EF">
        <w:trPr>
          <w:trHeight w:val="4368"/>
          <w:jc w:val="center"/>
        </w:trPr>
        <w:tc>
          <w:tcPr>
            <w:tcW w:w="1580" w:type="dxa"/>
            <w:tcBorders>
              <w:top w:val="nil"/>
              <w:left w:val="single" w:sz="4" w:space="0" w:color="auto"/>
              <w:bottom w:val="single" w:sz="4" w:space="0" w:color="auto"/>
              <w:right w:val="single" w:sz="4" w:space="0" w:color="auto"/>
            </w:tcBorders>
            <w:vAlign w:val="center"/>
            <w:hideMark/>
          </w:tcPr>
          <w:p w14:paraId="1623A55E"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lastRenderedPageBreak/>
              <w:t> </w:t>
            </w:r>
          </w:p>
        </w:tc>
        <w:tc>
          <w:tcPr>
            <w:tcW w:w="1700" w:type="dxa"/>
            <w:tcBorders>
              <w:top w:val="nil"/>
              <w:left w:val="nil"/>
              <w:bottom w:val="single" w:sz="4" w:space="0" w:color="auto"/>
              <w:right w:val="single" w:sz="4" w:space="0" w:color="auto"/>
            </w:tcBorders>
            <w:vAlign w:val="center"/>
            <w:hideMark/>
          </w:tcPr>
          <w:p w14:paraId="708BD153"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External opportunities</w:t>
            </w:r>
          </w:p>
        </w:tc>
        <w:tc>
          <w:tcPr>
            <w:tcW w:w="2300" w:type="dxa"/>
            <w:tcBorders>
              <w:top w:val="nil"/>
              <w:left w:val="nil"/>
              <w:bottom w:val="single" w:sz="4" w:space="0" w:color="auto"/>
              <w:right w:val="single" w:sz="4" w:space="0" w:color="auto"/>
            </w:tcBorders>
            <w:vAlign w:val="center"/>
            <w:hideMark/>
          </w:tcPr>
          <w:p w14:paraId="3EEA569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Identified regulatory and market opportunities from the Green Deal, systematized via SWOT matrix</w:t>
            </w:r>
          </w:p>
        </w:tc>
        <w:tc>
          <w:tcPr>
            <w:tcW w:w="1740" w:type="dxa"/>
            <w:tcBorders>
              <w:top w:val="nil"/>
              <w:left w:val="nil"/>
              <w:bottom w:val="single" w:sz="4" w:space="0" w:color="auto"/>
              <w:right w:val="single" w:sz="4" w:space="0" w:color="auto"/>
            </w:tcBorders>
            <w:vAlign w:val="center"/>
            <w:hideMark/>
          </w:tcPr>
          <w:p w14:paraId="3F098972"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SWOT analysis</w:t>
            </w:r>
          </w:p>
        </w:tc>
        <w:tc>
          <w:tcPr>
            <w:tcW w:w="1680" w:type="dxa"/>
            <w:tcBorders>
              <w:top w:val="nil"/>
              <w:left w:val="nil"/>
              <w:bottom w:val="single" w:sz="4" w:space="0" w:color="auto"/>
              <w:right w:val="single" w:sz="4" w:space="0" w:color="auto"/>
            </w:tcBorders>
            <w:vAlign w:val="center"/>
            <w:hideMark/>
          </w:tcPr>
          <w:p w14:paraId="6BEAAE08"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Sector</w:t>
            </w:r>
          </w:p>
        </w:tc>
        <w:tc>
          <w:tcPr>
            <w:tcW w:w="1780" w:type="dxa"/>
            <w:tcBorders>
              <w:top w:val="nil"/>
              <w:left w:val="nil"/>
              <w:bottom w:val="single" w:sz="4" w:space="0" w:color="auto"/>
              <w:right w:val="single" w:sz="4" w:space="0" w:color="auto"/>
            </w:tcBorders>
            <w:vAlign w:val="center"/>
            <w:hideMark/>
          </w:tcPr>
          <w:p w14:paraId="25235E05"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4E1C119E" w14:textId="77777777" w:rsidTr="000425EF">
        <w:trPr>
          <w:trHeight w:val="4368"/>
          <w:jc w:val="center"/>
        </w:trPr>
        <w:tc>
          <w:tcPr>
            <w:tcW w:w="1580" w:type="dxa"/>
            <w:tcBorders>
              <w:top w:val="nil"/>
              <w:left w:val="single" w:sz="4" w:space="0" w:color="auto"/>
              <w:bottom w:val="single" w:sz="4" w:space="0" w:color="auto"/>
              <w:right w:val="single" w:sz="4" w:space="0" w:color="auto"/>
            </w:tcBorders>
            <w:vAlign w:val="center"/>
            <w:hideMark/>
          </w:tcPr>
          <w:p w14:paraId="5A6D67E9"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32383508"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External threats</w:t>
            </w:r>
          </w:p>
        </w:tc>
        <w:tc>
          <w:tcPr>
            <w:tcW w:w="2300" w:type="dxa"/>
            <w:tcBorders>
              <w:top w:val="nil"/>
              <w:left w:val="nil"/>
              <w:bottom w:val="single" w:sz="4" w:space="0" w:color="auto"/>
              <w:right w:val="single" w:sz="4" w:space="0" w:color="auto"/>
            </w:tcBorders>
            <w:vAlign w:val="center"/>
            <w:hideMark/>
          </w:tcPr>
          <w:p w14:paraId="31573026"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Identified risks and threats from the implementation of the Green Deal, systematized via SWOT matrix</w:t>
            </w:r>
          </w:p>
        </w:tc>
        <w:tc>
          <w:tcPr>
            <w:tcW w:w="1740" w:type="dxa"/>
            <w:tcBorders>
              <w:top w:val="nil"/>
              <w:left w:val="nil"/>
              <w:bottom w:val="single" w:sz="4" w:space="0" w:color="auto"/>
              <w:right w:val="single" w:sz="4" w:space="0" w:color="auto"/>
            </w:tcBorders>
            <w:vAlign w:val="center"/>
            <w:hideMark/>
          </w:tcPr>
          <w:p w14:paraId="78DEFD24"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SWOT analysis</w:t>
            </w:r>
          </w:p>
        </w:tc>
        <w:tc>
          <w:tcPr>
            <w:tcW w:w="1680" w:type="dxa"/>
            <w:tcBorders>
              <w:top w:val="nil"/>
              <w:left w:val="nil"/>
              <w:bottom w:val="single" w:sz="4" w:space="0" w:color="auto"/>
              <w:right w:val="single" w:sz="4" w:space="0" w:color="auto"/>
            </w:tcBorders>
            <w:vAlign w:val="center"/>
            <w:hideMark/>
          </w:tcPr>
          <w:p w14:paraId="1DA23807"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Sector</w:t>
            </w:r>
          </w:p>
        </w:tc>
        <w:tc>
          <w:tcPr>
            <w:tcW w:w="1780" w:type="dxa"/>
            <w:tcBorders>
              <w:top w:val="nil"/>
              <w:left w:val="nil"/>
              <w:bottom w:val="single" w:sz="4" w:space="0" w:color="auto"/>
              <w:right w:val="single" w:sz="4" w:space="0" w:color="auto"/>
            </w:tcBorders>
            <w:vAlign w:val="center"/>
            <w:hideMark/>
          </w:tcPr>
          <w:p w14:paraId="734C3863"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H2</w:t>
            </w:r>
          </w:p>
        </w:tc>
      </w:tr>
      <w:tr w:rsidR="000425EF" w:rsidRPr="000425EF" w14:paraId="2CD460B1" w14:textId="77777777" w:rsidTr="000425EF">
        <w:trPr>
          <w:trHeight w:val="2496"/>
          <w:jc w:val="center"/>
        </w:trPr>
        <w:tc>
          <w:tcPr>
            <w:tcW w:w="1580" w:type="dxa"/>
            <w:tcBorders>
              <w:top w:val="nil"/>
              <w:left w:val="single" w:sz="4" w:space="0" w:color="auto"/>
              <w:bottom w:val="single" w:sz="4" w:space="0" w:color="auto"/>
              <w:right w:val="single" w:sz="4" w:space="0" w:color="auto"/>
            </w:tcBorders>
            <w:vAlign w:val="center"/>
            <w:hideMark/>
          </w:tcPr>
          <w:p w14:paraId="25DCCAB8" w14:textId="77777777" w:rsidR="000425EF" w:rsidRPr="000425EF" w:rsidRDefault="000425EF" w:rsidP="000425EF">
            <w:pPr>
              <w:spacing w:after="0" w:line="240" w:lineRule="auto"/>
              <w:jc w:val="center"/>
              <w:rPr>
                <w:rFonts w:ascii="Times New Roman" w:eastAsia="Times New Roman" w:hAnsi="Times New Roman" w:cs="Times New Roman"/>
                <w:b/>
                <w:bCs/>
                <w:color w:val="1F1F1F"/>
                <w:kern w:val="0"/>
                <w14:ligatures w14:val="none"/>
              </w:rPr>
            </w:pPr>
            <w:r w:rsidRPr="000425EF">
              <w:rPr>
                <w:rFonts w:ascii="Times New Roman" w:eastAsia="Times New Roman" w:hAnsi="Times New Roman" w:cs="Times New Roman"/>
                <w:b/>
                <w:bCs/>
                <w:color w:val="1F1F1F"/>
                <w:kern w:val="0"/>
                <w14:ligatures w14:val="none"/>
              </w:rPr>
              <w:t>Scenario Forecast</w:t>
            </w:r>
          </w:p>
        </w:tc>
        <w:tc>
          <w:tcPr>
            <w:tcW w:w="1700" w:type="dxa"/>
            <w:tcBorders>
              <w:top w:val="nil"/>
              <w:left w:val="nil"/>
              <w:bottom w:val="single" w:sz="4" w:space="0" w:color="auto"/>
              <w:right w:val="single" w:sz="4" w:space="0" w:color="auto"/>
            </w:tcBorders>
            <w:vAlign w:val="center"/>
            <w:hideMark/>
          </w:tcPr>
          <w:p w14:paraId="2259B309"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Dynamics of mineral fertilizer use</w:t>
            </w:r>
          </w:p>
        </w:tc>
        <w:tc>
          <w:tcPr>
            <w:tcW w:w="2300" w:type="dxa"/>
            <w:tcBorders>
              <w:top w:val="nil"/>
              <w:left w:val="nil"/>
              <w:bottom w:val="single" w:sz="4" w:space="0" w:color="auto"/>
              <w:right w:val="single" w:sz="4" w:space="0" w:color="auto"/>
            </w:tcBorders>
            <w:vAlign w:val="center"/>
            <w:hideMark/>
          </w:tcPr>
          <w:p w14:paraId="663630F7"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Forecast volume (tons of active substance)</w:t>
            </w:r>
          </w:p>
        </w:tc>
        <w:tc>
          <w:tcPr>
            <w:tcW w:w="1740" w:type="dxa"/>
            <w:tcBorders>
              <w:top w:val="nil"/>
              <w:left w:val="nil"/>
              <w:bottom w:val="single" w:sz="4" w:space="0" w:color="auto"/>
              <w:right w:val="single" w:sz="4" w:space="0" w:color="auto"/>
            </w:tcBorders>
            <w:vAlign w:val="center"/>
            <w:hideMark/>
          </w:tcPr>
          <w:p w14:paraId="4801659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Stochastic scenario model with trend extrapolation</w:t>
            </w:r>
          </w:p>
        </w:tc>
        <w:tc>
          <w:tcPr>
            <w:tcW w:w="1680" w:type="dxa"/>
            <w:tcBorders>
              <w:top w:val="nil"/>
              <w:left w:val="nil"/>
              <w:bottom w:val="single" w:sz="4" w:space="0" w:color="auto"/>
              <w:right w:val="single" w:sz="4" w:space="0" w:color="auto"/>
            </w:tcBorders>
            <w:vAlign w:val="center"/>
            <w:hideMark/>
          </w:tcPr>
          <w:p w14:paraId="78A46232"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National</w:t>
            </w:r>
          </w:p>
        </w:tc>
        <w:tc>
          <w:tcPr>
            <w:tcW w:w="1780" w:type="dxa"/>
            <w:tcBorders>
              <w:top w:val="nil"/>
              <w:left w:val="nil"/>
              <w:bottom w:val="single" w:sz="4" w:space="0" w:color="auto"/>
              <w:right w:val="single" w:sz="4" w:space="0" w:color="auto"/>
            </w:tcBorders>
            <w:vAlign w:val="center"/>
            <w:hideMark/>
          </w:tcPr>
          <w:p w14:paraId="55580569"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H3</w:t>
            </w:r>
          </w:p>
        </w:tc>
      </w:tr>
      <w:tr w:rsidR="000425EF" w:rsidRPr="000425EF" w14:paraId="4C056647" w14:textId="77777777" w:rsidTr="000425EF">
        <w:trPr>
          <w:trHeight w:val="1872"/>
          <w:jc w:val="center"/>
        </w:trPr>
        <w:tc>
          <w:tcPr>
            <w:tcW w:w="1580" w:type="dxa"/>
            <w:tcBorders>
              <w:top w:val="nil"/>
              <w:left w:val="single" w:sz="4" w:space="0" w:color="auto"/>
              <w:bottom w:val="single" w:sz="4" w:space="0" w:color="auto"/>
              <w:right w:val="single" w:sz="4" w:space="0" w:color="auto"/>
            </w:tcBorders>
            <w:vAlign w:val="center"/>
            <w:hideMark/>
          </w:tcPr>
          <w:p w14:paraId="6A8E2E14"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lastRenderedPageBreak/>
              <w:t> </w:t>
            </w:r>
          </w:p>
        </w:tc>
        <w:tc>
          <w:tcPr>
            <w:tcW w:w="1700" w:type="dxa"/>
            <w:tcBorders>
              <w:top w:val="nil"/>
              <w:left w:val="nil"/>
              <w:bottom w:val="single" w:sz="4" w:space="0" w:color="auto"/>
              <w:right w:val="single" w:sz="4" w:space="0" w:color="auto"/>
            </w:tcBorders>
            <w:vAlign w:val="center"/>
            <w:hideMark/>
          </w:tcPr>
          <w:p w14:paraId="6B8AB5EA"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Dynamics of veterinary antibiotic use</w:t>
            </w:r>
          </w:p>
        </w:tc>
        <w:tc>
          <w:tcPr>
            <w:tcW w:w="2300" w:type="dxa"/>
            <w:tcBorders>
              <w:top w:val="nil"/>
              <w:left w:val="nil"/>
              <w:bottom w:val="single" w:sz="4" w:space="0" w:color="auto"/>
              <w:right w:val="single" w:sz="4" w:space="0" w:color="auto"/>
            </w:tcBorders>
            <w:vAlign w:val="center"/>
            <w:hideMark/>
          </w:tcPr>
          <w:p w14:paraId="4371CD7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Forecast volume of antibiotics sold (tons)</w:t>
            </w:r>
          </w:p>
        </w:tc>
        <w:tc>
          <w:tcPr>
            <w:tcW w:w="1740" w:type="dxa"/>
            <w:tcBorders>
              <w:top w:val="nil"/>
              <w:left w:val="nil"/>
              <w:bottom w:val="single" w:sz="4" w:space="0" w:color="auto"/>
              <w:right w:val="single" w:sz="4" w:space="0" w:color="auto"/>
            </w:tcBorders>
            <w:vAlign w:val="center"/>
            <w:hideMark/>
          </w:tcPr>
          <w:p w14:paraId="7FE51B6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Stochastic scenario model</w:t>
            </w:r>
          </w:p>
        </w:tc>
        <w:tc>
          <w:tcPr>
            <w:tcW w:w="1680" w:type="dxa"/>
            <w:tcBorders>
              <w:top w:val="nil"/>
              <w:left w:val="nil"/>
              <w:bottom w:val="single" w:sz="4" w:space="0" w:color="auto"/>
              <w:right w:val="single" w:sz="4" w:space="0" w:color="auto"/>
            </w:tcBorders>
            <w:vAlign w:val="center"/>
            <w:hideMark/>
          </w:tcPr>
          <w:p w14:paraId="135A682A"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National</w:t>
            </w:r>
          </w:p>
        </w:tc>
        <w:tc>
          <w:tcPr>
            <w:tcW w:w="1780" w:type="dxa"/>
            <w:tcBorders>
              <w:top w:val="nil"/>
              <w:left w:val="nil"/>
              <w:bottom w:val="single" w:sz="4" w:space="0" w:color="auto"/>
              <w:right w:val="single" w:sz="4" w:space="0" w:color="auto"/>
            </w:tcBorders>
            <w:vAlign w:val="center"/>
            <w:hideMark/>
          </w:tcPr>
          <w:p w14:paraId="0E5ACA09"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H3</w:t>
            </w:r>
          </w:p>
        </w:tc>
      </w:tr>
      <w:tr w:rsidR="000425EF" w:rsidRPr="000425EF" w14:paraId="1823DFC4" w14:textId="77777777" w:rsidTr="000425EF">
        <w:trPr>
          <w:trHeight w:val="4260"/>
          <w:jc w:val="center"/>
        </w:trPr>
        <w:tc>
          <w:tcPr>
            <w:tcW w:w="1580" w:type="dxa"/>
            <w:tcBorders>
              <w:top w:val="nil"/>
              <w:left w:val="single" w:sz="4" w:space="0" w:color="auto"/>
              <w:bottom w:val="single" w:sz="4" w:space="0" w:color="auto"/>
              <w:right w:val="single" w:sz="4" w:space="0" w:color="auto"/>
            </w:tcBorders>
            <w:vAlign w:val="center"/>
            <w:hideMark/>
          </w:tcPr>
          <w:p w14:paraId="063195A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3747C632"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Structural dependency — number of holdings and fertilizer quantity</w:t>
            </w:r>
          </w:p>
        </w:tc>
        <w:tc>
          <w:tcPr>
            <w:tcW w:w="2300" w:type="dxa"/>
            <w:tcBorders>
              <w:top w:val="nil"/>
              <w:left w:val="nil"/>
              <w:bottom w:val="single" w:sz="4" w:space="0" w:color="auto"/>
              <w:right w:val="single" w:sz="4" w:space="0" w:color="auto"/>
            </w:tcBorders>
            <w:vAlign w:val="center"/>
            <w:hideMark/>
          </w:tcPr>
          <w:p w14:paraId="578B366B"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Tightness of the dependency between mineral fertilizer use and number of holdings approved for direct payments</w:t>
            </w:r>
          </w:p>
        </w:tc>
        <w:tc>
          <w:tcPr>
            <w:tcW w:w="1740" w:type="dxa"/>
            <w:tcBorders>
              <w:top w:val="nil"/>
              <w:left w:val="nil"/>
              <w:bottom w:val="single" w:sz="4" w:space="0" w:color="auto"/>
              <w:right w:val="single" w:sz="4" w:space="0" w:color="auto"/>
            </w:tcBorders>
            <w:vAlign w:val="center"/>
            <w:hideMark/>
          </w:tcPr>
          <w:p w14:paraId="12B380F0"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Pearson correlation coefficient</w:t>
            </w:r>
          </w:p>
        </w:tc>
        <w:tc>
          <w:tcPr>
            <w:tcW w:w="1680" w:type="dxa"/>
            <w:tcBorders>
              <w:top w:val="nil"/>
              <w:left w:val="nil"/>
              <w:bottom w:val="single" w:sz="4" w:space="0" w:color="auto"/>
              <w:right w:val="single" w:sz="4" w:space="0" w:color="auto"/>
            </w:tcBorders>
            <w:vAlign w:val="center"/>
            <w:hideMark/>
          </w:tcPr>
          <w:p w14:paraId="0B663768"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Correlation analysis</w:t>
            </w:r>
          </w:p>
        </w:tc>
        <w:tc>
          <w:tcPr>
            <w:tcW w:w="1780" w:type="dxa"/>
            <w:tcBorders>
              <w:top w:val="nil"/>
              <w:left w:val="nil"/>
              <w:bottom w:val="single" w:sz="4" w:space="0" w:color="auto"/>
              <w:right w:val="single" w:sz="4" w:space="0" w:color="auto"/>
            </w:tcBorders>
            <w:vAlign w:val="center"/>
            <w:hideMark/>
          </w:tcPr>
          <w:p w14:paraId="6B683771"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National</w:t>
            </w:r>
          </w:p>
        </w:tc>
      </w:tr>
      <w:tr w:rsidR="000425EF" w:rsidRPr="000425EF" w14:paraId="622EA2A8" w14:textId="77777777" w:rsidTr="000425EF">
        <w:trPr>
          <w:trHeight w:val="2496"/>
          <w:jc w:val="center"/>
        </w:trPr>
        <w:tc>
          <w:tcPr>
            <w:tcW w:w="1580" w:type="dxa"/>
            <w:tcBorders>
              <w:top w:val="nil"/>
              <w:left w:val="single" w:sz="4" w:space="0" w:color="auto"/>
              <w:bottom w:val="single" w:sz="4" w:space="0" w:color="auto"/>
              <w:right w:val="single" w:sz="4" w:space="0" w:color="auto"/>
            </w:tcBorders>
            <w:vAlign w:val="center"/>
            <w:hideMark/>
          </w:tcPr>
          <w:p w14:paraId="334C2377"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0AF96E17"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Share of explained variation in the number of holdings</w:t>
            </w:r>
          </w:p>
        </w:tc>
        <w:tc>
          <w:tcPr>
            <w:tcW w:w="2300" w:type="dxa"/>
            <w:tcBorders>
              <w:top w:val="nil"/>
              <w:left w:val="nil"/>
              <w:bottom w:val="single" w:sz="4" w:space="0" w:color="auto"/>
              <w:right w:val="single" w:sz="4" w:space="0" w:color="auto"/>
            </w:tcBorders>
            <w:vAlign w:val="center"/>
            <w:hideMark/>
          </w:tcPr>
          <w:p w14:paraId="1E012460"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Coefficient of determination</w:t>
            </w:r>
          </w:p>
        </w:tc>
        <w:tc>
          <w:tcPr>
            <w:tcW w:w="1740" w:type="dxa"/>
            <w:tcBorders>
              <w:top w:val="nil"/>
              <w:left w:val="nil"/>
              <w:bottom w:val="single" w:sz="4" w:space="0" w:color="auto"/>
              <w:right w:val="single" w:sz="4" w:space="0" w:color="auto"/>
            </w:tcBorders>
            <w:vAlign w:val="center"/>
            <w:hideMark/>
          </w:tcPr>
          <w:p w14:paraId="2CDD3D4F"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Determination analysis</w:t>
            </w:r>
          </w:p>
        </w:tc>
        <w:tc>
          <w:tcPr>
            <w:tcW w:w="1680" w:type="dxa"/>
            <w:tcBorders>
              <w:top w:val="nil"/>
              <w:left w:val="nil"/>
              <w:bottom w:val="single" w:sz="4" w:space="0" w:color="auto"/>
              <w:right w:val="single" w:sz="4" w:space="0" w:color="auto"/>
            </w:tcBorders>
            <w:vAlign w:val="center"/>
            <w:hideMark/>
          </w:tcPr>
          <w:p w14:paraId="3E85CFA6"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National</w:t>
            </w:r>
          </w:p>
        </w:tc>
        <w:tc>
          <w:tcPr>
            <w:tcW w:w="1780" w:type="dxa"/>
            <w:tcBorders>
              <w:top w:val="nil"/>
              <w:left w:val="nil"/>
              <w:bottom w:val="single" w:sz="4" w:space="0" w:color="auto"/>
              <w:right w:val="single" w:sz="4" w:space="0" w:color="auto"/>
            </w:tcBorders>
            <w:vAlign w:val="center"/>
            <w:hideMark/>
          </w:tcPr>
          <w:p w14:paraId="2E7BE5E1"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H4</w:t>
            </w:r>
          </w:p>
        </w:tc>
      </w:tr>
      <w:tr w:rsidR="000425EF" w:rsidRPr="000425EF" w14:paraId="0AF48CA3" w14:textId="77777777" w:rsidTr="000425EF">
        <w:trPr>
          <w:trHeight w:val="1560"/>
          <w:jc w:val="center"/>
        </w:trPr>
        <w:tc>
          <w:tcPr>
            <w:tcW w:w="1580" w:type="dxa"/>
            <w:tcBorders>
              <w:top w:val="nil"/>
              <w:left w:val="single" w:sz="4" w:space="0" w:color="auto"/>
              <w:bottom w:val="single" w:sz="4" w:space="0" w:color="auto"/>
              <w:right w:val="single" w:sz="4" w:space="0" w:color="auto"/>
            </w:tcBorders>
            <w:vAlign w:val="center"/>
            <w:hideMark/>
          </w:tcPr>
          <w:p w14:paraId="3222F088"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 </w:t>
            </w:r>
          </w:p>
        </w:tc>
        <w:tc>
          <w:tcPr>
            <w:tcW w:w="1700" w:type="dxa"/>
            <w:tcBorders>
              <w:top w:val="nil"/>
              <w:left w:val="nil"/>
              <w:bottom w:val="single" w:sz="4" w:space="0" w:color="auto"/>
              <w:right w:val="single" w:sz="4" w:space="0" w:color="auto"/>
            </w:tcBorders>
            <w:vAlign w:val="center"/>
            <w:hideMark/>
          </w:tcPr>
          <w:p w14:paraId="017261A9"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Intensity of linear dependency</w:t>
            </w:r>
          </w:p>
        </w:tc>
        <w:tc>
          <w:tcPr>
            <w:tcW w:w="2300" w:type="dxa"/>
            <w:tcBorders>
              <w:top w:val="nil"/>
              <w:left w:val="nil"/>
              <w:bottom w:val="single" w:sz="4" w:space="0" w:color="auto"/>
              <w:right w:val="single" w:sz="4" w:space="0" w:color="auto"/>
            </w:tcBorders>
            <w:vAlign w:val="center"/>
            <w:hideMark/>
          </w:tcPr>
          <w:p w14:paraId="1C19321D"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Regression coefficient</w:t>
            </w:r>
          </w:p>
        </w:tc>
        <w:tc>
          <w:tcPr>
            <w:tcW w:w="1740" w:type="dxa"/>
            <w:tcBorders>
              <w:top w:val="nil"/>
              <w:left w:val="nil"/>
              <w:bottom w:val="single" w:sz="4" w:space="0" w:color="auto"/>
              <w:right w:val="single" w:sz="4" w:space="0" w:color="auto"/>
            </w:tcBorders>
            <w:vAlign w:val="center"/>
            <w:hideMark/>
          </w:tcPr>
          <w:p w14:paraId="0DA45257"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Regression analysis</w:t>
            </w:r>
          </w:p>
        </w:tc>
        <w:tc>
          <w:tcPr>
            <w:tcW w:w="1680" w:type="dxa"/>
            <w:tcBorders>
              <w:top w:val="nil"/>
              <w:left w:val="nil"/>
              <w:bottom w:val="single" w:sz="4" w:space="0" w:color="auto"/>
              <w:right w:val="single" w:sz="4" w:space="0" w:color="auto"/>
            </w:tcBorders>
            <w:vAlign w:val="center"/>
            <w:hideMark/>
          </w:tcPr>
          <w:p w14:paraId="73F77D60"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National</w:t>
            </w:r>
          </w:p>
        </w:tc>
        <w:tc>
          <w:tcPr>
            <w:tcW w:w="1780" w:type="dxa"/>
            <w:tcBorders>
              <w:top w:val="nil"/>
              <w:left w:val="nil"/>
              <w:bottom w:val="single" w:sz="4" w:space="0" w:color="auto"/>
              <w:right w:val="single" w:sz="4" w:space="0" w:color="auto"/>
            </w:tcBorders>
            <w:vAlign w:val="center"/>
            <w:hideMark/>
          </w:tcPr>
          <w:p w14:paraId="7891C30C" w14:textId="77777777" w:rsidR="000425EF" w:rsidRPr="000425EF" w:rsidRDefault="000425EF" w:rsidP="000425EF">
            <w:pPr>
              <w:spacing w:after="0" w:line="240" w:lineRule="auto"/>
              <w:jc w:val="center"/>
              <w:rPr>
                <w:rFonts w:ascii="Times New Roman" w:eastAsia="Times New Roman" w:hAnsi="Times New Roman" w:cs="Times New Roman"/>
                <w:color w:val="1F1F1F"/>
                <w:kern w:val="0"/>
                <w14:ligatures w14:val="none"/>
              </w:rPr>
            </w:pPr>
            <w:r w:rsidRPr="000425EF">
              <w:rPr>
                <w:rFonts w:ascii="Times New Roman" w:eastAsia="Times New Roman" w:hAnsi="Times New Roman" w:cs="Times New Roman"/>
                <w:color w:val="1F1F1F"/>
                <w:kern w:val="0"/>
                <w14:ligatures w14:val="none"/>
              </w:rPr>
              <w:t>H4</w:t>
            </w:r>
          </w:p>
        </w:tc>
      </w:tr>
    </w:tbl>
    <w:p w14:paraId="031A698E" w14:textId="77777777" w:rsidR="000425EF" w:rsidRPr="000425EF" w:rsidRDefault="000425EF" w:rsidP="000425EF">
      <w:pPr>
        <w:spacing w:line="360" w:lineRule="auto"/>
        <w:ind w:firstLine="720"/>
        <w:rPr>
          <w:rFonts w:ascii="Times New Roman" w:hAnsi="Times New Roman" w:cs="Times New Roman"/>
        </w:rPr>
      </w:pPr>
    </w:p>
    <w:p w14:paraId="7C3DEED0" w14:textId="09AD5245" w:rsidR="00627058" w:rsidRDefault="000425EF" w:rsidP="000425EF">
      <w:pPr>
        <w:spacing w:line="360" w:lineRule="auto"/>
        <w:ind w:firstLine="720"/>
        <w:jc w:val="center"/>
        <w:rPr>
          <w:rFonts w:ascii="Times New Roman" w:hAnsi="Times New Roman" w:cs="Times New Roman"/>
        </w:rPr>
      </w:pPr>
      <w:r w:rsidRPr="000425EF">
        <w:rPr>
          <w:rFonts w:ascii="Times New Roman" w:hAnsi="Times New Roman" w:cs="Times New Roman"/>
        </w:rPr>
        <w:t>Sources: own development</w:t>
      </w:r>
    </w:p>
    <w:p w14:paraId="36109C6B" w14:textId="77777777" w:rsidR="000425EF" w:rsidRPr="000425EF" w:rsidRDefault="000425EF" w:rsidP="000425EF">
      <w:pPr>
        <w:spacing w:line="360" w:lineRule="auto"/>
        <w:ind w:firstLine="720"/>
        <w:jc w:val="both"/>
        <w:rPr>
          <w:rFonts w:ascii="Times New Roman" w:hAnsi="Times New Roman" w:cs="Times New Roman"/>
        </w:rPr>
      </w:pPr>
      <w:r w:rsidRPr="000425EF">
        <w:rPr>
          <w:rFonts w:ascii="Times New Roman" w:hAnsi="Times New Roman" w:cs="Times New Roman"/>
        </w:rPr>
        <w:t xml:space="preserve">Based on this methodological foundation, a SWOT analysis is applied, which allows for a strategic diagnosis of the position of the Bulgarian agricultural sector relative to the requirements of the Green Deal. The analysis identifies both the internal strengths and weaknesses of the </w:t>
      </w:r>
      <w:r w:rsidRPr="000425EF">
        <w:rPr>
          <w:rFonts w:ascii="Times New Roman" w:hAnsi="Times New Roman" w:cs="Times New Roman"/>
        </w:rPr>
        <w:lastRenderedPageBreak/>
        <w:t>holdings, as well as the external opportunities and threats arising from regulatory pressure and the financial incentives of the CAP.</w:t>
      </w:r>
    </w:p>
    <w:p w14:paraId="364D8BB7" w14:textId="77777777" w:rsidR="000425EF" w:rsidRPr="000425EF" w:rsidRDefault="000425EF" w:rsidP="000425EF">
      <w:pPr>
        <w:spacing w:line="360" w:lineRule="auto"/>
        <w:ind w:firstLine="720"/>
        <w:jc w:val="both"/>
        <w:rPr>
          <w:rFonts w:ascii="Times New Roman" w:hAnsi="Times New Roman" w:cs="Times New Roman"/>
        </w:rPr>
      </w:pPr>
      <w:r w:rsidRPr="000425EF">
        <w:rPr>
          <w:rFonts w:ascii="Times New Roman" w:hAnsi="Times New Roman" w:cs="Times New Roman"/>
        </w:rPr>
        <w:t>Parallel to the quantitative methods, a survey and focus groups are conducted. The survey covers 92 agricultural holdings, stratified by economic size, NUTS-2 region, and production specialization according to the FADN typology. The questionnaire includes questions regarding the level of awareness about the Green Deal, the expected impact on the holding, the sustainable practices implemented, and the barriers to their adoption. The focus groups—a total of six, one in each NUTS-2 region—are conducted according to semi-structured scenarios covering nine thematic blocks, ranging from the holding profile to SWOT-oriented questions. The results of the survey and focus groups are subjected to cross-analysis and stability testing by region and holding characteristics, which ensures the validation of the quantitative data.</w:t>
      </w:r>
    </w:p>
    <w:p w14:paraId="57F5B2F6" w14:textId="77777777" w:rsidR="000425EF" w:rsidRPr="000425EF" w:rsidRDefault="000425EF" w:rsidP="000425EF">
      <w:pPr>
        <w:spacing w:line="360" w:lineRule="auto"/>
        <w:ind w:firstLine="720"/>
        <w:jc w:val="both"/>
        <w:rPr>
          <w:rFonts w:ascii="Times New Roman" w:hAnsi="Times New Roman" w:cs="Times New Roman"/>
        </w:rPr>
      </w:pPr>
      <w:r w:rsidRPr="000425EF">
        <w:rPr>
          <w:rFonts w:ascii="Times New Roman" w:hAnsi="Times New Roman" w:cs="Times New Roman"/>
        </w:rPr>
        <w:t>The next step in the methodological design is the case study analysis. According to Yin (2018), the case study method is particularly suitable for a "deep understanding of processes in real-world contexts" of the holdings. Three holdings have been selected, representing different types by size and specialization. The first case study covers an industrial grain-producing holding with an economic size of over 500,000 EUR, located in the North-East region (NUTS-2, BG33). In this case, experiments are conducted with conventional and no-till soil cultivation, different fertilization schemes for wheat, maize, and sunflower, as well as the application of cover crops. The second case study represents a medium-sized livestock holding with an economic size between 25,000 and 50,000 EUR in the North Central region (NUTS-2, BG32). The experiments include fertilization in maize for grain and silage, sorghum, as well as the application of cover crops with a nitrogen-fixing effect. The third case study is a large agricultural holding with an economic size between 50,000 and 100,000 EUR, specialized in permanent crops and located in the South-East region (NUTS-2, BG34). Practices for grassing between the rows, drip irrigation, and integrated pest management have been applied.</w:t>
      </w:r>
    </w:p>
    <w:p w14:paraId="079DD85F" w14:textId="7379365E" w:rsidR="00F81095" w:rsidRPr="00F81095" w:rsidRDefault="00F81095" w:rsidP="00F81095">
      <w:pPr>
        <w:spacing w:line="360" w:lineRule="auto"/>
        <w:ind w:firstLine="720"/>
        <w:jc w:val="both"/>
        <w:rPr>
          <w:rFonts w:ascii="Times New Roman" w:hAnsi="Times New Roman" w:cs="Times New Roman"/>
        </w:rPr>
      </w:pPr>
      <w:r w:rsidRPr="00F81095">
        <w:rPr>
          <w:rFonts w:ascii="Times New Roman" w:hAnsi="Times New Roman" w:cs="Times New Roman"/>
        </w:rPr>
        <w:t xml:space="preserve">At the next stage, the (RCA is applied, through which coefficients of economic and environmental efficiency are derived at the level of the main factors of production and </w:t>
      </w:r>
      <w:proofErr w:type="spellStart"/>
      <w:r w:rsidRPr="00F81095">
        <w:rPr>
          <w:rFonts w:ascii="Times New Roman" w:hAnsi="Times New Roman" w:cs="Times New Roman"/>
        </w:rPr>
        <w:t>specialisation</w:t>
      </w:r>
      <w:proofErr w:type="spellEnd"/>
      <w:r w:rsidRPr="00F81095">
        <w:rPr>
          <w:rFonts w:ascii="Times New Roman" w:hAnsi="Times New Roman" w:cs="Times New Roman"/>
        </w:rPr>
        <w:t xml:space="preserve"> of agricultural holdings. The primary output indicator in the model is Total Output (SE131 Total Output, €/farm), which serves as the basis for forming an intensity indicator of output </w:t>
      </w:r>
      <w:r w:rsidRPr="00F81095">
        <w:rPr>
          <w:rFonts w:ascii="Times New Roman" w:hAnsi="Times New Roman" w:cs="Times New Roman"/>
        </w:rPr>
        <w:lastRenderedPageBreak/>
        <w:t xml:space="preserve">per unit area. For this purpose, total output is related to the </w:t>
      </w:r>
      <w:proofErr w:type="spellStart"/>
      <w:r w:rsidRPr="00F81095">
        <w:rPr>
          <w:rFonts w:ascii="Times New Roman" w:hAnsi="Times New Roman" w:cs="Times New Roman"/>
        </w:rPr>
        <w:t>utilised</w:t>
      </w:r>
      <w:proofErr w:type="spellEnd"/>
      <w:r w:rsidRPr="00F81095">
        <w:rPr>
          <w:rFonts w:ascii="Times New Roman" w:hAnsi="Times New Roman" w:cs="Times New Roman"/>
        </w:rPr>
        <w:t xml:space="preserve"> agricultural area (SE025), which acts as a common </w:t>
      </w:r>
      <w:proofErr w:type="spellStart"/>
      <w:r w:rsidRPr="00F81095">
        <w:rPr>
          <w:rFonts w:ascii="Times New Roman" w:hAnsi="Times New Roman" w:cs="Times New Roman"/>
        </w:rPr>
        <w:t>normalising</w:t>
      </w:r>
      <w:proofErr w:type="spellEnd"/>
      <w:r w:rsidRPr="00F81095">
        <w:rPr>
          <w:rFonts w:ascii="Times New Roman" w:hAnsi="Times New Roman" w:cs="Times New Roman"/>
        </w:rPr>
        <w:t xml:space="preserve"> base. Thus, for each year the following is calculated:</w:t>
      </w:r>
    </w:p>
    <w:p w14:paraId="4D82783F" w14:textId="1F2FE982" w:rsidR="00F81095" w:rsidRPr="00F81095" w:rsidRDefault="00000000" w:rsidP="00F81095">
      <w:pPr>
        <w:spacing w:line="360" w:lineRule="auto"/>
        <w:ind w:firstLine="720"/>
        <w:jc w:val="both"/>
        <w:rPr>
          <w:rFonts w:ascii="Times New Roman" w:hAnsi="Times New Roman" w:cs="Times New Roman"/>
        </w:rPr>
      </w:pPr>
      <m:oMathPara>
        <m:oMath>
          <m:f>
            <m:fPr>
              <m:ctrlPr>
                <w:rPr>
                  <w:rFonts w:ascii="Cambria Math" w:hAnsi="Cambria Math" w:cs="Times New Roman"/>
                </w:rPr>
              </m:ctrlPr>
            </m:fPr>
            <m:num>
              <m:r>
                <w:rPr>
                  <w:rFonts w:ascii="Cambria Math" w:hAnsi="Cambria Math" w:cs="Times New Roman"/>
                </w:rPr>
                <m:t>Y</m:t>
              </m:r>
            </m:num>
            <m:den>
              <m:r>
                <w:rPr>
                  <w:rFonts w:ascii="Cambria Math" w:hAnsi="Cambria Math" w:cs="Times New Roman"/>
                </w:rPr>
                <m:t>ha</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SE</m:t>
              </m:r>
              <m:r>
                <m:rPr>
                  <m:sty m:val="p"/>
                </m:rPr>
                <w:rPr>
                  <w:rFonts w:ascii="Cambria Math" w:hAnsi="Cambria Math" w:cs="Times New Roman"/>
                </w:rPr>
                <m:t>131</m:t>
              </m:r>
            </m:num>
            <m:den>
              <m:r>
                <w:rPr>
                  <w:rFonts w:ascii="Cambria Math" w:hAnsi="Cambria Math" w:cs="Times New Roman"/>
                </w:rPr>
                <m:t>SE</m:t>
              </m:r>
              <m:r>
                <m:rPr>
                  <m:sty m:val="p"/>
                </m:rPr>
                <w:rPr>
                  <w:rFonts w:ascii="Cambria Math" w:hAnsi="Cambria Math" w:cs="Times New Roman"/>
                </w:rPr>
                <m:t>025</m:t>
              </m:r>
            </m:den>
          </m:f>
          <m:r>
            <m:rPr>
              <m:sty m:val="p"/>
            </m:rPr>
            <w:rPr>
              <w:rFonts w:ascii="Times New Roman" w:hAnsi="Times New Roman" w:cs="Times New Roman"/>
            </w:rPr>
            <w:br/>
          </m:r>
        </m:oMath>
      </m:oMathPara>
    </w:p>
    <w:p w14:paraId="7870BDCA" w14:textId="188FA66B" w:rsidR="00F81095" w:rsidRPr="00F81095" w:rsidRDefault="00F81095" w:rsidP="00F81095">
      <w:pPr>
        <w:spacing w:line="360" w:lineRule="auto"/>
        <w:ind w:firstLine="720"/>
        <w:jc w:val="both"/>
        <w:rPr>
          <w:rFonts w:ascii="Times New Roman" w:hAnsi="Times New Roman" w:cs="Times New Roman"/>
        </w:rPr>
      </w:pPr>
      <w:r w:rsidRPr="00F81095">
        <w:rPr>
          <w:rFonts w:ascii="Times New Roman" w:hAnsi="Times New Roman" w:cs="Times New Roman"/>
        </w:rPr>
        <w:t xml:space="preserve">where </w:t>
      </w:r>
      <m:oMath>
        <m:f>
          <m:fPr>
            <m:ctrlPr>
              <w:rPr>
                <w:rFonts w:ascii="Cambria Math" w:hAnsi="Cambria Math" w:cs="Times New Roman"/>
              </w:rPr>
            </m:ctrlPr>
          </m:fPr>
          <m:num>
            <m:r>
              <w:rPr>
                <w:rFonts w:ascii="Cambria Math" w:hAnsi="Cambria Math" w:cs="Times New Roman"/>
              </w:rPr>
              <m:t>Y</m:t>
            </m:r>
          </m:num>
          <m:den>
            <m:r>
              <w:rPr>
                <w:rFonts w:ascii="Cambria Math" w:hAnsi="Cambria Math" w:cs="Times New Roman"/>
              </w:rPr>
              <m:t>ha</m:t>
            </m:r>
          </m:den>
        </m:f>
        <m:r>
          <w:rPr>
            <w:rFonts w:ascii="Cambria Math" w:hAnsi="Cambria Math" w:cs="Times New Roman"/>
          </w:rPr>
          <m:t xml:space="preserve"> </m:t>
        </m:r>
      </m:oMath>
      <w:r w:rsidRPr="00F81095">
        <w:rPr>
          <w:rFonts w:ascii="Times New Roman" w:hAnsi="Times New Roman" w:cs="Times New Roman"/>
        </w:rPr>
        <w:t xml:space="preserve">is output per hectare, and </w:t>
      </w:r>
      <m:oMath>
        <m:r>
          <w:rPr>
            <w:rFonts w:ascii="Cambria Math" w:hAnsi="Cambria Math" w:cs="Times New Roman"/>
          </w:rPr>
          <m:t>t</m:t>
        </m:r>
      </m:oMath>
      <w:r w:rsidRPr="00F81095">
        <w:rPr>
          <w:rFonts w:ascii="Times New Roman" w:hAnsi="Times New Roman" w:cs="Times New Roman"/>
        </w:rPr>
        <w:t>is the respective year.</w:t>
      </w:r>
      <w:r>
        <w:rPr>
          <w:rFonts w:ascii="Times New Roman" w:hAnsi="Times New Roman" w:cs="Times New Roman"/>
        </w:rPr>
        <w:t xml:space="preserve"> </w:t>
      </w:r>
      <w:r w:rsidRPr="00F81095">
        <w:rPr>
          <w:rFonts w:ascii="Times New Roman" w:hAnsi="Times New Roman" w:cs="Times New Roman"/>
        </w:rPr>
        <w:t>Following the same principle, the remaining resource indicators are formed, through which the individual dimensions of economic efficiency are assessed. For production costs, the indicator SE270 Total Inputs, expressed per hectare, is used:</w:t>
      </w:r>
    </w:p>
    <w:p w14:paraId="182DE78B" w14:textId="40526B60" w:rsidR="00F81095" w:rsidRPr="00F81095" w:rsidRDefault="00000000" w:rsidP="00F81095">
      <w:pPr>
        <w:spacing w:line="360" w:lineRule="auto"/>
        <w:ind w:firstLine="720"/>
        <w:jc w:val="both"/>
        <w:rPr>
          <w:rFonts w:ascii="Times New Roman" w:hAnsi="Times New Roman" w:cs="Times New Roman"/>
        </w:rPr>
      </w:pPr>
      <m:oMathPara>
        <m:oMath>
          <m:f>
            <m:fPr>
              <m:ctrlPr>
                <w:rPr>
                  <w:rFonts w:ascii="Cambria Math" w:hAnsi="Cambria Math" w:cs="Times New Roman"/>
                </w:rPr>
              </m:ctrlPr>
            </m:fPr>
            <m:num>
              <m:r>
                <w:rPr>
                  <w:rFonts w:ascii="Cambria Math" w:hAnsi="Cambria Math" w:cs="Times New Roman"/>
                </w:rPr>
                <m:t>Inputs</m:t>
              </m:r>
            </m:num>
            <m:den>
              <m:r>
                <w:rPr>
                  <w:rFonts w:ascii="Cambria Math" w:hAnsi="Cambria Math" w:cs="Times New Roman"/>
                </w:rPr>
                <m:t>ha</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SE</m:t>
              </m:r>
              <m:r>
                <m:rPr>
                  <m:sty m:val="p"/>
                </m:rPr>
                <w:rPr>
                  <w:rFonts w:ascii="Cambria Math" w:hAnsi="Cambria Math" w:cs="Times New Roman"/>
                </w:rPr>
                <m:t>270</m:t>
              </m:r>
            </m:num>
            <m:den>
              <m:r>
                <w:rPr>
                  <w:rFonts w:ascii="Cambria Math" w:hAnsi="Cambria Math" w:cs="Times New Roman"/>
                </w:rPr>
                <m:t>SE</m:t>
              </m:r>
              <m:r>
                <m:rPr>
                  <m:sty m:val="p"/>
                </m:rPr>
                <w:rPr>
                  <w:rFonts w:ascii="Cambria Math" w:hAnsi="Cambria Math" w:cs="Times New Roman"/>
                </w:rPr>
                <m:t>025</m:t>
              </m:r>
            </m:den>
          </m:f>
          <m:r>
            <m:rPr>
              <m:sty m:val="p"/>
            </m:rPr>
            <w:rPr>
              <w:rFonts w:ascii="Times New Roman" w:hAnsi="Times New Roman" w:cs="Times New Roman"/>
            </w:rPr>
            <w:br/>
          </m:r>
        </m:oMath>
      </m:oMathPara>
    </w:p>
    <w:p w14:paraId="34188E66" w14:textId="77777777" w:rsidR="00F81095" w:rsidRPr="00F81095" w:rsidRDefault="00F81095" w:rsidP="00F81095">
      <w:pPr>
        <w:spacing w:line="360" w:lineRule="auto"/>
        <w:ind w:firstLine="720"/>
        <w:jc w:val="both"/>
        <w:rPr>
          <w:rFonts w:ascii="Times New Roman" w:hAnsi="Times New Roman" w:cs="Times New Roman"/>
        </w:rPr>
      </w:pPr>
      <w:r w:rsidRPr="00F81095">
        <w:rPr>
          <w:rFonts w:ascii="Times New Roman" w:hAnsi="Times New Roman" w:cs="Times New Roman"/>
        </w:rPr>
        <w:t xml:space="preserve">For capital, SE436 Total Assets is used, again related to the </w:t>
      </w:r>
      <w:proofErr w:type="spellStart"/>
      <w:r w:rsidRPr="00F81095">
        <w:rPr>
          <w:rFonts w:ascii="Times New Roman" w:hAnsi="Times New Roman" w:cs="Times New Roman"/>
        </w:rPr>
        <w:t>utilised</w:t>
      </w:r>
      <w:proofErr w:type="spellEnd"/>
      <w:r w:rsidRPr="00F81095">
        <w:rPr>
          <w:rFonts w:ascii="Times New Roman" w:hAnsi="Times New Roman" w:cs="Times New Roman"/>
        </w:rPr>
        <w:t xml:space="preserve"> agricultural area:</w:t>
      </w:r>
    </w:p>
    <w:p w14:paraId="2D1B9CCC" w14:textId="36DF8FD4" w:rsidR="00F81095" w:rsidRPr="00F81095" w:rsidRDefault="00000000" w:rsidP="00F81095">
      <w:pPr>
        <w:spacing w:line="360" w:lineRule="auto"/>
        <w:ind w:firstLine="720"/>
        <w:jc w:val="both"/>
        <w:rPr>
          <w:rFonts w:ascii="Times New Roman" w:hAnsi="Times New Roman" w:cs="Times New Roman"/>
        </w:rPr>
      </w:pPr>
      <m:oMathPara>
        <m:oMath>
          <m:f>
            <m:fPr>
              <m:ctrlPr>
                <w:rPr>
                  <w:rFonts w:ascii="Cambria Math" w:hAnsi="Cambria Math" w:cs="Times New Roman"/>
                </w:rPr>
              </m:ctrlPr>
            </m:fPr>
            <m:num>
              <m:r>
                <w:rPr>
                  <w:rFonts w:ascii="Cambria Math" w:hAnsi="Cambria Math" w:cs="Times New Roman"/>
                </w:rPr>
                <m:t>Assets</m:t>
              </m:r>
            </m:num>
            <m:den>
              <m:r>
                <w:rPr>
                  <w:rFonts w:ascii="Cambria Math" w:hAnsi="Cambria Math" w:cs="Times New Roman"/>
                </w:rPr>
                <m:t>ha</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SE</m:t>
              </m:r>
              <m:r>
                <m:rPr>
                  <m:sty m:val="p"/>
                </m:rPr>
                <w:rPr>
                  <w:rFonts w:ascii="Cambria Math" w:hAnsi="Cambria Math" w:cs="Times New Roman"/>
                </w:rPr>
                <m:t>436</m:t>
              </m:r>
            </m:num>
            <m:den>
              <m:r>
                <w:rPr>
                  <w:rFonts w:ascii="Cambria Math" w:hAnsi="Cambria Math" w:cs="Times New Roman"/>
                </w:rPr>
                <m:t>SE</m:t>
              </m:r>
              <m:r>
                <m:rPr>
                  <m:sty m:val="p"/>
                </m:rPr>
                <w:rPr>
                  <w:rFonts w:ascii="Cambria Math" w:hAnsi="Cambria Math" w:cs="Times New Roman"/>
                </w:rPr>
                <m:t>025</m:t>
              </m:r>
            </m:den>
          </m:f>
          <m:r>
            <m:rPr>
              <m:sty m:val="p"/>
            </m:rPr>
            <w:rPr>
              <w:rFonts w:ascii="Times New Roman" w:hAnsi="Times New Roman" w:cs="Times New Roman"/>
            </w:rPr>
            <w:br/>
          </m:r>
        </m:oMath>
      </m:oMathPara>
    </w:p>
    <w:p w14:paraId="175B0B5D" w14:textId="77777777" w:rsidR="00F81095" w:rsidRPr="00F81095" w:rsidRDefault="00F81095" w:rsidP="00F81095">
      <w:pPr>
        <w:spacing w:line="360" w:lineRule="auto"/>
        <w:ind w:firstLine="720"/>
        <w:jc w:val="both"/>
        <w:rPr>
          <w:rFonts w:ascii="Times New Roman" w:hAnsi="Times New Roman" w:cs="Times New Roman"/>
        </w:rPr>
      </w:pPr>
      <w:r w:rsidRPr="00F81095">
        <w:rPr>
          <w:rFonts w:ascii="Times New Roman" w:hAnsi="Times New Roman" w:cs="Times New Roman"/>
        </w:rPr>
        <w:t xml:space="preserve">For </w:t>
      </w:r>
      <w:proofErr w:type="spellStart"/>
      <w:r w:rsidRPr="00F81095">
        <w:rPr>
          <w:rFonts w:ascii="Times New Roman" w:hAnsi="Times New Roman" w:cs="Times New Roman"/>
        </w:rPr>
        <w:t>labour</w:t>
      </w:r>
      <w:proofErr w:type="spellEnd"/>
      <w:r w:rsidRPr="00F81095">
        <w:rPr>
          <w:rFonts w:ascii="Times New Roman" w:hAnsi="Times New Roman" w:cs="Times New Roman"/>
        </w:rPr>
        <w:t xml:space="preserve">, SE010 Total </w:t>
      </w:r>
      <w:proofErr w:type="spellStart"/>
      <w:r w:rsidRPr="00F81095">
        <w:rPr>
          <w:rFonts w:ascii="Times New Roman" w:hAnsi="Times New Roman" w:cs="Times New Roman"/>
        </w:rPr>
        <w:t>Labour</w:t>
      </w:r>
      <w:proofErr w:type="spellEnd"/>
      <w:r w:rsidRPr="00F81095">
        <w:rPr>
          <w:rFonts w:ascii="Times New Roman" w:hAnsi="Times New Roman" w:cs="Times New Roman"/>
        </w:rPr>
        <w:t xml:space="preserve"> Input, measured in AWU per holding and </w:t>
      </w:r>
      <w:proofErr w:type="spellStart"/>
      <w:r w:rsidRPr="00F81095">
        <w:rPr>
          <w:rFonts w:ascii="Times New Roman" w:hAnsi="Times New Roman" w:cs="Times New Roman"/>
        </w:rPr>
        <w:t>normalised</w:t>
      </w:r>
      <w:proofErr w:type="spellEnd"/>
      <w:r w:rsidRPr="00F81095">
        <w:rPr>
          <w:rFonts w:ascii="Times New Roman" w:hAnsi="Times New Roman" w:cs="Times New Roman"/>
        </w:rPr>
        <w:t xml:space="preserve"> per hectare, is used:</w:t>
      </w:r>
    </w:p>
    <w:p w14:paraId="1ACFACAE" w14:textId="53F4E0A1" w:rsidR="00F81095" w:rsidRPr="00F81095" w:rsidRDefault="00000000" w:rsidP="00F81095">
      <w:pPr>
        <w:spacing w:line="360" w:lineRule="auto"/>
        <w:ind w:firstLine="720"/>
        <w:jc w:val="both"/>
        <w:rPr>
          <w:rFonts w:ascii="Times New Roman" w:hAnsi="Times New Roman" w:cs="Times New Roman"/>
        </w:rPr>
      </w:pPr>
      <m:oMathPara>
        <m:oMath>
          <m:f>
            <m:fPr>
              <m:ctrlPr>
                <w:rPr>
                  <w:rFonts w:ascii="Cambria Math" w:hAnsi="Cambria Math" w:cs="Times New Roman"/>
                </w:rPr>
              </m:ctrlPr>
            </m:fPr>
            <m:num>
              <m:r>
                <w:rPr>
                  <w:rFonts w:ascii="Cambria Math" w:hAnsi="Cambria Math" w:cs="Times New Roman"/>
                </w:rPr>
                <m:t>Labour</m:t>
              </m:r>
            </m:num>
            <m:den>
              <m:r>
                <w:rPr>
                  <w:rFonts w:ascii="Cambria Math" w:hAnsi="Cambria Math" w:cs="Times New Roman"/>
                </w:rPr>
                <m:t>ha</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SE</m:t>
              </m:r>
              <m:r>
                <m:rPr>
                  <m:sty m:val="p"/>
                </m:rPr>
                <w:rPr>
                  <w:rFonts w:ascii="Cambria Math" w:hAnsi="Cambria Math" w:cs="Times New Roman"/>
                </w:rPr>
                <m:t>010</m:t>
              </m:r>
            </m:num>
            <m:den>
              <m:r>
                <w:rPr>
                  <w:rFonts w:ascii="Cambria Math" w:hAnsi="Cambria Math" w:cs="Times New Roman"/>
                </w:rPr>
                <m:t>SE</m:t>
              </m:r>
              <m:r>
                <m:rPr>
                  <m:sty m:val="p"/>
                </m:rPr>
                <w:rPr>
                  <w:rFonts w:ascii="Cambria Math" w:hAnsi="Cambria Math" w:cs="Times New Roman"/>
                </w:rPr>
                <m:t>025</m:t>
              </m:r>
            </m:den>
          </m:f>
          <m:r>
            <m:rPr>
              <m:sty m:val="p"/>
            </m:rPr>
            <w:rPr>
              <w:rFonts w:ascii="Times New Roman" w:hAnsi="Times New Roman" w:cs="Times New Roman"/>
            </w:rPr>
            <w:br/>
          </m:r>
        </m:oMath>
      </m:oMathPara>
    </w:p>
    <w:p w14:paraId="2C204409" w14:textId="77777777" w:rsidR="00F81095" w:rsidRPr="00F81095" w:rsidRDefault="00F81095" w:rsidP="00F81095">
      <w:pPr>
        <w:spacing w:line="360" w:lineRule="auto"/>
        <w:ind w:firstLine="720"/>
        <w:jc w:val="both"/>
        <w:rPr>
          <w:rFonts w:ascii="Times New Roman" w:hAnsi="Times New Roman" w:cs="Times New Roman"/>
        </w:rPr>
      </w:pPr>
      <w:r w:rsidRPr="00F81095">
        <w:rPr>
          <w:rFonts w:ascii="Times New Roman" w:hAnsi="Times New Roman" w:cs="Times New Roman"/>
        </w:rPr>
        <w:t xml:space="preserve">For land use, SE375 Rent paid (€/ha) is applied, which is already expressed per hectare by nature and does not require additional </w:t>
      </w:r>
      <w:proofErr w:type="spellStart"/>
      <w:r w:rsidRPr="00F81095">
        <w:rPr>
          <w:rFonts w:ascii="Times New Roman" w:hAnsi="Times New Roman" w:cs="Times New Roman"/>
        </w:rPr>
        <w:t>normalisation</w:t>
      </w:r>
      <w:proofErr w:type="spellEnd"/>
      <w:r w:rsidRPr="00F81095">
        <w:rPr>
          <w:rFonts w:ascii="Times New Roman" w:hAnsi="Times New Roman" w:cs="Times New Roman"/>
        </w:rPr>
        <w:t>:</w:t>
      </w:r>
    </w:p>
    <w:p w14:paraId="6CDEE947" w14:textId="38706F90" w:rsidR="00F81095" w:rsidRPr="00F81095" w:rsidRDefault="00F81095" w:rsidP="00F81095">
      <w:pPr>
        <w:spacing w:line="360" w:lineRule="auto"/>
        <w:ind w:firstLine="720"/>
        <w:jc w:val="both"/>
        <w:rPr>
          <w:rFonts w:ascii="Times New Roman" w:hAnsi="Times New Roman" w:cs="Times New Roman"/>
        </w:rPr>
      </w:pPr>
      <m:oMathPara>
        <m:oMath>
          <m:r>
            <w:rPr>
              <w:rFonts w:ascii="Cambria Math" w:hAnsi="Cambria Math" w:cs="Times New Roman"/>
            </w:rPr>
            <m:t>Rent</m:t>
          </m:r>
          <m:r>
            <m:rPr>
              <m:sty m:val="p"/>
            </m:rPr>
            <w:rPr>
              <w:rFonts w:ascii="Cambria Math" w:hAnsi="Cambria Math" w:cs="Times New Roman"/>
            </w:rPr>
            <m:t>/</m:t>
          </m:r>
          <m:r>
            <w:rPr>
              <w:rFonts w:ascii="Cambria Math" w:hAnsi="Cambria Math" w:cs="Times New Roman"/>
            </w:rPr>
            <m:t>ha</m:t>
          </m:r>
          <m:r>
            <m:rPr>
              <m:sty m:val="p"/>
            </m:rPr>
            <w:rPr>
              <w:rFonts w:ascii="Cambria Math" w:hAnsi="Cambria Math" w:cs="Times New Roman"/>
            </w:rPr>
            <m:t>=</m:t>
          </m:r>
          <m:r>
            <w:rPr>
              <w:rFonts w:ascii="Cambria Math" w:hAnsi="Cambria Math" w:cs="Times New Roman"/>
            </w:rPr>
            <m:t>SE</m:t>
          </m:r>
          <m:r>
            <m:rPr>
              <m:sty m:val="p"/>
            </m:rPr>
            <w:rPr>
              <w:rFonts w:ascii="Cambria Math" w:hAnsi="Cambria Math" w:cs="Times New Roman"/>
            </w:rPr>
            <m:t>375</m:t>
          </m:r>
          <m:r>
            <m:rPr>
              <m:sty m:val="p"/>
            </m:rPr>
            <w:rPr>
              <w:rFonts w:ascii="Times New Roman" w:hAnsi="Times New Roman" w:cs="Times New Roman"/>
            </w:rPr>
            <w:br/>
          </m:r>
        </m:oMath>
      </m:oMathPara>
    </w:p>
    <w:p w14:paraId="3EA84B18" w14:textId="77777777" w:rsidR="00F81095" w:rsidRPr="00F81095" w:rsidRDefault="00F81095" w:rsidP="00F81095">
      <w:pPr>
        <w:spacing w:line="360" w:lineRule="auto"/>
        <w:ind w:firstLine="720"/>
        <w:jc w:val="both"/>
        <w:rPr>
          <w:rFonts w:ascii="Times New Roman" w:hAnsi="Times New Roman" w:cs="Times New Roman"/>
        </w:rPr>
      </w:pPr>
      <w:r w:rsidRPr="00F81095">
        <w:rPr>
          <w:rFonts w:ascii="Times New Roman" w:hAnsi="Times New Roman" w:cs="Times New Roman"/>
        </w:rPr>
        <w:t xml:space="preserve">For each of the selected indicators in the analysis by production </w:t>
      </w:r>
      <w:proofErr w:type="spellStart"/>
      <w:r w:rsidRPr="00F81095">
        <w:rPr>
          <w:rFonts w:ascii="Times New Roman" w:hAnsi="Times New Roman" w:cs="Times New Roman"/>
        </w:rPr>
        <w:t>specialisation</w:t>
      </w:r>
      <w:proofErr w:type="spellEnd"/>
      <w:r w:rsidRPr="00F81095">
        <w:rPr>
          <w:rFonts w:ascii="Times New Roman" w:hAnsi="Times New Roman" w:cs="Times New Roman"/>
        </w:rPr>
        <w:t xml:space="preserve">, a Relative Comparative Assessment (RCA) coefficient is calculated, which measures the relative performance of the respective unit under study against the reference average level and the degree </w:t>
      </w:r>
      <w:r w:rsidRPr="00F81095">
        <w:rPr>
          <w:rFonts w:ascii="Times New Roman" w:hAnsi="Times New Roman" w:cs="Times New Roman"/>
        </w:rPr>
        <w:lastRenderedPageBreak/>
        <w:t>of variation in the observed population. Within the present study, the RCA coefficient is calculated using the following formula:</w:t>
      </w:r>
    </w:p>
    <w:p w14:paraId="5955ACC3" w14:textId="0A8AE596" w:rsidR="00F81095" w:rsidRPr="00F81095" w:rsidRDefault="00000000" w:rsidP="00F81095">
      <w:pPr>
        <w:spacing w:line="360" w:lineRule="auto"/>
        <w:jc w:val="both"/>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sub>
              </m:sSub>
            </m:num>
            <m:den>
              <m:sSub>
                <m:sSubPr>
                  <m:ctrlPr>
                    <w:rPr>
                      <w:rFonts w:ascii="Cambria Math" w:hAnsi="Cambria Math" w:cs="Times New Roman"/>
                    </w:rPr>
                  </m:ctrlPr>
                </m:sSubPr>
                <m:e>
                  <m:acc>
                    <m:accPr>
                      <m:chr m:val="ˉ"/>
                      <m:ctrlPr>
                        <w:rPr>
                          <w:rFonts w:ascii="Cambria Math" w:hAnsi="Cambria Math" w:cs="Times New Roman"/>
                        </w:rPr>
                      </m:ctrlPr>
                    </m:accPr>
                    <m:e>
                      <m:r>
                        <w:rPr>
                          <w:rFonts w:ascii="Cambria Math" w:hAnsi="Cambria Math" w:cs="Times New Roman"/>
                        </w:rPr>
                        <m:t>X</m:t>
                      </m:r>
                    </m:e>
                  </m:acc>
                </m:e>
                <m:sub>
                  <m:r>
                    <w:rPr>
                      <w:rFonts w:ascii="Cambria Math" w:hAnsi="Cambria Math" w:cs="Times New Roman"/>
                    </w:rPr>
                    <m:t>i</m:t>
                  </m:r>
                </m:sub>
              </m:sSub>
            </m:den>
          </m:f>
          <m:r>
            <m:rPr>
              <m:sty m:val="p"/>
            </m:rPr>
            <w:rPr>
              <w:rFonts w:ascii="Cambria Math" w:hAnsi="Cambria Math" w:cs="Times New Roman"/>
            </w:rPr>
            <m:t>×</m:t>
          </m:r>
          <m:d>
            <m:dPr>
              <m:sepChr m:val="−"/>
              <m:ctrlPr>
                <w:rPr>
                  <w:rFonts w:ascii="Cambria Math" w:hAnsi="Cambria Math" w:cs="Times New Roman"/>
                </w:rPr>
              </m:ctrlPr>
            </m:dPr>
            <m:e>
              <m:r>
                <m:rPr>
                  <m:sty m:val="p"/>
                </m:rPr>
                <w:rPr>
                  <w:rFonts w:ascii="Cambria Math" w:hAnsi="Cambria Math" w:cs="Times New Roman"/>
                </w:rPr>
                <m:t>1</m:t>
              </m:r>
            </m:e>
            <m:e>
              <m:f>
                <m:fPr>
                  <m:ctrlPr>
                    <w:rPr>
                      <w:rFonts w:ascii="Cambria Math" w:hAnsi="Cambria Math" w:cs="Times New Roman"/>
                    </w:rPr>
                  </m:ctrlPr>
                </m:fPr>
                <m:num>
                  <m:r>
                    <w:rPr>
                      <w:rFonts w:ascii="Cambria Math" w:hAnsi="Cambria Math" w:cs="Times New Roman"/>
                    </w:rPr>
                    <m:t>C</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i</m:t>
                      </m:r>
                    </m:sub>
                  </m:sSub>
                </m:num>
                <m:den>
                  <m:r>
                    <m:rPr>
                      <m:sty m:val="p"/>
                    </m:rPr>
                    <w:rPr>
                      <w:rFonts w:ascii="Cambria Math" w:hAnsi="Cambria Math" w:cs="Times New Roman"/>
                    </w:rPr>
                    <m:t>100</m:t>
                  </m:r>
                </m:den>
              </m:f>
            </m:e>
          </m:d>
          <m:r>
            <m:rPr>
              <m:sty m:val="p"/>
            </m:rPr>
            <w:rPr>
              <w:rFonts w:ascii="Times New Roman" w:hAnsi="Times New Roman" w:cs="Times New Roman"/>
            </w:rPr>
            <w:br/>
          </m:r>
        </m:oMath>
      </m:oMathPara>
    </w:p>
    <w:p w14:paraId="46D194E6" w14:textId="77777777" w:rsidR="00F81095" w:rsidRPr="00F81095" w:rsidRDefault="00F81095" w:rsidP="00F81095">
      <w:pPr>
        <w:spacing w:line="360" w:lineRule="auto"/>
        <w:ind w:firstLine="720"/>
        <w:jc w:val="both"/>
        <w:rPr>
          <w:rFonts w:ascii="Times New Roman" w:hAnsi="Times New Roman" w:cs="Times New Roman"/>
        </w:rPr>
      </w:pPr>
      <w:r w:rsidRPr="00F81095">
        <w:rPr>
          <w:rFonts w:ascii="Times New Roman" w:hAnsi="Times New Roman" w:cs="Times New Roman"/>
        </w:rPr>
        <w:t>where:</w:t>
      </w:r>
    </w:p>
    <w:p w14:paraId="714A1025" w14:textId="1DB6A2EC" w:rsidR="00F81095" w:rsidRPr="00F81095" w:rsidRDefault="00000000" w:rsidP="00F81095">
      <w:pPr>
        <w:spacing w:line="360" w:lineRule="auto"/>
        <w:ind w:firstLine="720"/>
        <w:jc w:val="both"/>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sub>
        </m:sSub>
      </m:oMath>
      <w:r w:rsidR="00F81095" w:rsidRPr="00F81095">
        <w:rPr>
          <w:rFonts w:ascii="Times New Roman" w:hAnsi="Times New Roman" w:cs="Times New Roman"/>
        </w:rPr>
        <w:t xml:space="preserve">is the Relative Comparative Assessment coefficient for indicator </w:t>
      </w:r>
      <m:oMath>
        <m:r>
          <w:rPr>
            <w:rFonts w:ascii="Cambria Math" w:hAnsi="Cambria Math" w:cs="Times New Roman"/>
          </w:rPr>
          <m:t>i</m:t>
        </m:r>
      </m:oMath>
      <w:r w:rsidR="00F81095" w:rsidRPr="00F81095">
        <w:rPr>
          <w:rFonts w:ascii="Times New Roman" w:hAnsi="Times New Roman" w:cs="Times New Roman"/>
        </w:rPr>
        <w:t xml:space="preserve">in group </w:t>
      </w:r>
      <m:oMath>
        <m:r>
          <w:rPr>
            <w:rFonts w:ascii="Cambria Math" w:hAnsi="Cambria Math" w:cs="Times New Roman"/>
          </w:rPr>
          <m:t>j</m:t>
        </m:r>
      </m:oMath>
      <w:r w:rsidR="00F81095" w:rsidRPr="00F81095">
        <w:rPr>
          <w:rFonts w:ascii="Times New Roman" w:hAnsi="Times New Roman" w:cs="Times New Roman"/>
        </w:rPr>
        <w:t>;</w:t>
      </w:r>
    </w:p>
    <w:p w14:paraId="415A5E6B" w14:textId="543517DB" w:rsidR="00F81095" w:rsidRPr="00F81095" w:rsidRDefault="00000000" w:rsidP="00F81095">
      <w:pPr>
        <w:spacing w:line="360" w:lineRule="auto"/>
        <w:ind w:firstLine="720"/>
        <w:jc w:val="both"/>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sub>
        </m:sSub>
      </m:oMath>
      <w:r w:rsidR="00F81095" w:rsidRPr="00F81095">
        <w:rPr>
          <w:rFonts w:ascii="Times New Roman" w:hAnsi="Times New Roman" w:cs="Times New Roman"/>
        </w:rPr>
        <w:t>denotes the value of the examined indicator for the respective production specialisation or group of holdings;</w:t>
      </w:r>
    </w:p>
    <w:p w14:paraId="42E4F5D4" w14:textId="08B33A9A" w:rsidR="00F81095" w:rsidRPr="00F81095" w:rsidRDefault="00000000" w:rsidP="00F81095">
      <w:pPr>
        <w:spacing w:line="360" w:lineRule="auto"/>
        <w:ind w:firstLine="720"/>
        <w:jc w:val="both"/>
        <w:rPr>
          <w:rFonts w:ascii="Times New Roman" w:hAnsi="Times New Roman" w:cs="Times New Roman"/>
        </w:rPr>
      </w:pPr>
      <m:oMath>
        <m:sSub>
          <m:sSubPr>
            <m:ctrlPr>
              <w:rPr>
                <w:rFonts w:ascii="Cambria Math" w:hAnsi="Cambria Math" w:cs="Times New Roman"/>
              </w:rPr>
            </m:ctrlPr>
          </m:sSubPr>
          <m:e>
            <m:acc>
              <m:accPr>
                <m:chr m:val="ˉ"/>
                <m:ctrlPr>
                  <w:rPr>
                    <w:rFonts w:ascii="Cambria Math" w:hAnsi="Cambria Math" w:cs="Times New Roman"/>
                  </w:rPr>
                </m:ctrlPr>
              </m:accPr>
              <m:e>
                <m:r>
                  <w:rPr>
                    <w:rFonts w:ascii="Cambria Math" w:hAnsi="Cambria Math" w:cs="Times New Roman"/>
                  </w:rPr>
                  <m:t>X</m:t>
                </m:r>
              </m:e>
            </m:acc>
          </m:e>
          <m:sub>
            <m:r>
              <w:rPr>
                <w:rFonts w:ascii="Cambria Math" w:hAnsi="Cambria Math" w:cs="Times New Roman"/>
              </w:rPr>
              <m:t>i</m:t>
            </m:r>
          </m:sub>
        </m:sSub>
      </m:oMath>
      <w:r w:rsidR="00F81095" w:rsidRPr="00F81095">
        <w:rPr>
          <w:rFonts w:ascii="Times New Roman" w:hAnsi="Times New Roman" w:cs="Times New Roman"/>
        </w:rPr>
        <w:t>is the average value of the same indicator for the observed population;</w:t>
      </w:r>
    </w:p>
    <w:p w14:paraId="64B7A061" w14:textId="25361FAA" w:rsidR="00F81095" w:rsidRPr="00F81095" w:rsidRDefault="00F81095" w:rsidP="00F81095">
      <w:pPr>
        <w:spacing w:line="360" w:lineRule="auto"/>
        <w:ind w:firstLine="720"/>
        <w:jc w:val="both"/>
        <w:rPr>
          <w:rFonts w:ascii="Times New Roman" w:hAnsi="Times New Roman" w:cs="Times New Roman"/>
        </w:rPr>
      </w:pPr>
      <m:oMath>
        <m:r>
          <w:rPr>
            <w:rFonts w:ascii="Cambria Math" w:hAnsi="Cambria Math" w:cs="Times New Roman"/>
          </w:rPr>
          <m:t>C</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i</m:t>
            </m:r>
          </m:sub>
        </m:sSub>
      </m:oMath>
      <w:r w:rsidRPr="00F81095">
        <w:rPr>
          <w:rFonts w:ascii="Times New Roman" w:hAnsi="Times New Roman" w:cs="Times New Roman"/>
        </w:rPr>
        <w:t>is the coefficient of variation of the indicator, through which the degree of dispersion of observations around the mean value is accounted for.</w:t>
      </w:r>
    </w:p>
    <w:p w14:paraId="73908553" w14:textId="2A38E782" w:rsidR="00F81095" w:rsidRDefault="00F81095" w:rsidP="00F81095">
      <w:pPr>
        <w:spacing w:line="360" w:lineRule="auto"/>
        <w:ind w:firstLine="720"/>
        <w:jc w:val="both"/>
        <w:rPr>
          <w:rFonts w:ascii="Times New Roman" w:hAnsi="Times New Roman" w:cs="Times New Roman"/>
          <w:lang w:val="bg-BG"/>
        </w:rPr>
      </w:pPr>
      <w:r w:rsidRPr="00F81095">
        <w:rPr>
          <w:rFonts w:ascii="Times New Roman" w:hAnsi="Times New Roman" w:cs="Times New Roman"/>
        </w:rPr>
        <w:t>The correlation and determination analysis examines the relationship between the number of holdings approved for direct payments and the quantitative use of mineral fertili</w:t>
      </w:r>
      <w:r>
        <w:rPr>
          <w:rFonts w:ascii="Times New Roman" w:hAnsi="Times New Roman" w:cs="Times New Roman"/>
        </w:rPr>
        <w:t>z</w:t>
      </w:r>
      <w:r w:rsidRPr="00F81095">
        <w:rPr>
          <w:rFonts w:ascii="Times New Roman" w:hAnsi="Times New Roman" w:cs="Times New Roman"/>
        </w:rPr>
        <w:t>ers, based on official data from the State Fund “Agriculture” for the period 2007–2022.</w:t>
      </w:r>
    </w:p>
    <w:p w14:paraId="4F13C232" w14:textId="79D111F5" w:rsidR="00F81095" w:rsidRDefault="00F81095" w:rsidP="00F81095">
      <w:pPr>
        <w:spacing w:line="360" w:lineRule="auto"/>
        <w:ind w:firstLine="720"/>
        <w:jc w:val="center"/>
        <w:rPr>
          <w:rFonts w:ascii="Times New Roman" w:hAnsi="Times New Roman" w:cs="Times New Roman"/>
          <w:lang w:val="bg-BG"/>
        </w:rPr>
      </w:pPr>
      <w:r w:rsidRPr="00F81095">
        <w:rPr>
          <w:rFonts w:ascii="Times New Roman" w:hAnsi="Times New Roman" w:cs="Times New Roman"/>
        </w:rPr>
        <w:t>Table 72: Number of holdings approved for direct payments and use of mineral nitrogen fertilizers in Bulgaria, 2007–2022</w:t>
      </w:r>
    </w:p>
    <w:tbl>
      <w:tblPr>
        <w:tblW w:w="5820" w:type="dxa"/>
        <w:jc w:val="center"/>
        <w:tblLook w:val="04A0" w:firstRow="1" w:lastRow="0" w:firstColumn="1" w:lastColumn="0" w:noHBand="0" w:noVBand="1"/>
      </w:tblPr>
      <w:tblGrid>
        <w:gridCol w:w="1600"/>
        <w:gridCol w:w="2020"/>
        <w:gridCol w:w="2200"/>
      </w:tblGrid>
      <w:tr w:rsidR="00F81095" w:rsidRPr="00F81095" w14:paraId="3BCA3408" w14:textId="77777777" w:rsidTr="00F81095">
        <w:trPr>
          <w:trHeight w:val="1248"/>
          <w:jc w:val="center"/>
        </w:trPr>
        <w:tc>
          <w:tcPr>
            <w:tcW w:w="1600" w:type="dxa"/>
            <w:tcBorders>
              <w:top w:val="single" w:sz="4" w:space="0" w:color="auto"/>
              <w:left w:val="single" w:sz="4" w:space="0" w:color="auto"/>
              <w:bottom w:val="single" w:sz="4" w:space="0" w:color="auto"/>
              <w:right w:val="single" w:sz="4" w:space="0" w:color="auto"/>
            </w:tcBorders>
            <w:vAlign w:val="center"/>
            <w:hideMark/>
          </w:tcPr>
          <w:p w14:paraId="2EF479C7" w14:textId="77777777" w:rsidR="00F81095" w:rsidRPr="00F81095" w:rsidRDefault="00F81095" w:rsidP="00F81095">
            <w:pPr>
              <w:spacing w:after="0" w:line="240" w:lineRule="auto"/>
              <w:jc w:val="center"/>
              <w:rPr>
                <w:rFonts w:ascii="Times New Roman" w:eastAsia="Times New Roman" w:hAnsi="Times New Roman" w:cs="Times New Roman"/>
                <w:b/>
                <w:bCs/>
                <w:color w:val="1F1F1F"/>
                <w:kern w:val="0"/>
                <w14:ligatures w14:val="none"/>
              </w:rPr>
            </w:pPr>
            <w:r w:rsidRPr="00F81095">
              <w:rPr>
                <w:rFonts w:ascii="Times New Roman" w:eastAsia="Times New Roman" w:hAnsi="Times New Roman" w:cs="Times New Roman"/>
                <w:b/>
                <w:bCs/>
                <w:color w:val="1F1F1F"/>
                <w:kern w:val="0"/>
                <w14:ligatures w14:val="none"/>
              </w:rPr>
              <w:t>Year</w:t>
            </w:r>
          </w:p>
        </w:tc>
        <w:tc>
          <w:tcPr>
            <w:tcW w:w="2020" w:type="dxa"/>
            <w:tcBorders>
              <w:top w:val="single" w:sz="4" w:space="0" w:color="auto"/>
              <w:left w:val="nil"/>
              <w:bottom w:val="single" w:sz="4" w:space="0" w:color="auto"/>
              <w:right w:val="single" w:sz="4" w:space="0" w:color="auto"/>
            </w:tcBorders>
            <w:vAlign w:val="center"/>
            <w:hideMark/>
          </w:tcPr>
          <w:p w14:paraId="73F0A03B" w14:textId="77777777" w:rsidR="00F81095" w:rsidRPr="00F81095" w:rsidRDefault="00F81095" w:rsidP="00F81095">
            <w:pPr>
              <w:spacing w:after="0" w:line="240" w:lineRule="auto"/>
              <w:jc w:val="center"/>
              <w:rPr>
                <w:rFonts w:ascii="Times New Roman" w:eastAsia="Times New Roman" w:hAnsi="Times New Roman" w:cs="Times New Roman"/>
                <w:b/>
                <w:bCs/>
                <w:color w:val="1F1F1F"/>
                <w:kern w:val="0"/>
                <w14:ligatures w14:val="none"/>
              </w:rPr>
            </w:pPr>
            <w:r w:rsidRPr="00F81095">
              <w:rPr>
                <w:rFonts w:ascii="Times New Roman" w:eastAsia="Times New Roman" w:hAnsi="Times New Roman" w:cs="Times New Roman"/>
                <w:b/>
                <w:bCs/>
                <w:color w:val="1F1F1F"/>
                <w:kern w:val="0"/>
                <w14:ligatures w14:val="none"/>
              </w:rPr>
              <w:t>Number of holdings (thousands)</w:t>
            </w:r>
          </w:p>
        </w:tc>
        <w:tc>
          <w:tcPr>
            <w:tcW w:w="2200" w:type="dxa"/>
            <w:tcBorders>
              <w:top w:val="single" w:sz="4" w:space="0" w:color="auto"/>
              <w:left w:val="nil"/>
              <w:bottom w:val="single" w:sz="4" w:space="0" w:color="auto"/>
              <w:right w:val="single" w:sz="4" w:space="0" w:color="auto"/>
            </w:tcBorders>
            <w:vAlign w:val="center"/>
            <w:hideMark/>
          </w:tcPr>
          <w:p w14:paraId="713FE893" w14:textId="77777777" w:rsidR="00F81095" w:rsidRPr="00F81095" w:rsidRDefault="00F81095" w:rsidP="00F81095">
            <w:pPr>
              <w:spacing w:after="0" w:line="240" w:lineRule="auto"/>
              <w:jc w:val="center"/>
              <w:rPr>
                <w:rFonts w:ascii="Times New Roman" w:eastAsia="Times New Roman" w:hAnsi="Times New Roman" w:cs="Times New Roman"/>
                <w:b/>
                <w:bCs/>
                <w:color w:val="1F1F1F"/>
                <w:kern w:val="0"/>
                <w14:ligatures w14:val="none"/>
              </w:rPr>
            </w:pPr>
            <w:r w:rsidRPr="00F81095">
              <w:rPr>
                <w:rFonts w:ascii="Times New Roman" w:eastAsia="Times New Roman" w:hAnsi="Times New Roman" w:cs="Times New Roman"/>
                <w:b/>
                <w:bCs/>
                <w:color w:val="1F1F1F"/>
                <w:kern w:val="0"/>
                <w14:ligatures w14:val="none"/>
              </w:rPr>
              <w:t>Mineral nitrogen fertilizers (t)</w:t>
            </w:r>
          </w:p>
        </w:tc>
      </w:tr>
      <w:tr w:rsidR="00F81095" w:rsidRPr="00F81095" w14:paraId="1B7D61A8"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573AEEA5"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2007</w:t>
            </w:r>
          </w:p>
        </w:tc>
        <w:tc>
          <w:tcPr>
            <w:tcW w:w="2020" w:type="dxa"/>
            <w:tcBorders>
              <w:top w:val="nil"/>
              <w:left w:val="nil"/>
              <w:bottom w:val="single" w:sz="4" w:space="0" w:color="auto"/>
              <w:right w:val="single" w:sz="4" w:space="0" w:color="auto"/>
            </w:tcBorders>
            <w:vAlign w:val="center"/>
            <w:hideMark/>
          </w:tcPr>
          <w:p w14:paraId="0AE224AF"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78.79</w:t>
            </w:r>
          </w:p>
        </w:tc>
        <w:tc>
          <w:tcPr>
            <w:tcW w:w="2200" w:type="dxa"/>
            <w:tcBorders>
              <w:top w:val="nil"/>
              <w:left w:val="nil"/>
              <w:bottom w:val="single" w:sz="4" w:space="0" w:color="auto"/>
              <w:right w:val="single" w:sz="4" w:space="0" w:color="auto"/>
            </w:tcBorders>
            <w:vAlign w:val="center"/>
            <w:hideMark/>
          </w:tcPr>
          <w:p w14:paraId="20A600E7"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177,936</w:t>
            </w:r>
          </w:p>
        </w:tc>
      </w:tr>
      <w:tr w:rsidR="00F81095" w:rsidRPr="00F81095" w14:paraId="72D9F439"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3418254D"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2008</w:t>
            </w:r>
          </w:p>
        </w:tc>
        <w:tc>
          <w:tcPr>
            <w:tcW w:w="2020" w:type="dxa"/>
            <w:tcBorders>
              <w:top w:val="nil"/>
              <w:left w:val="nil"/>
              <w:bottom w:val="single" w:sz="4" w:space="0" w:color="auto"/>
              <w:right w:val="single" w:sz="4" w:space="0" w:color="auto"/>
            </w:tcBorders>
            <w:vAlign w:val="center"/>
            <w:hideMark/>
          </w:tcPr>
          <w:p w14:paraId="1D5BC873"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80.35</w:t>
            </w:r>
          </w:p>
        </w:tc>
        <w:tc>
          <w:tcPr>
            <w:tcW w:w="2200" w:type="dxa"/>
            <w:tcBorders>
              <w:top w:val="nil"/>
              <w:left w:val="nil"/>
              <w:bottom w:val="single" w:sz="4" w:space="0" w:color="auto"/>
              <w:right w:val="single" w:sz="4" w:space="0" w:color="auto"/>
            </w:tcBorders>
            <w:vAlign w:val="center"/>
            <w:hideMark/>
          </w:tcPr>
          <w:p w14:paraId="6525B692"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173,917</w:t>
            </w:r>
          </w:p>
        </w:tc>
      </w:tr>
      <w:tr w:rsidR="00F81095" w:rsidRPr="00F81095" w14:paraId="10AA60F7"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2E7B3235"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2009</w:t>
            </w:r>
          </w:p>
        </w:tc>
        <w:tc>
          <w:tcPr>
            <w:tcW w:w="2020" w:type="dxa"/>
            <w:tcBorders>
              <w:top w:val="nil"/>
              <w:left w:val="nil"/>
              <w:bottom w:val="single" w:sz="4" w:space="0" w:color="auto"/>
              <w:right w:val="single" w:sz="4" w:space="0" w:color="auto"/>
            </w:tcBorders>
            <w:vAlign w:val="center"/>
            <w:hideMark/>
          </w:tcPr>
          <w:p w14:paraId="4741ECB3"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79.17</w:t>
            </w:r>
          </w:p>
        </w:tc>
        <w:tc>
          <w:tcPr>
            <w:tcW w:w="2200" w:type="dxa"/>
            <w:tcBorders>
              <w:top w:val="nil"/>
              <w:left w:val="nil"/>
              <w:bottom w:val="single" w:sz="4" w:space="0" w:color="auto"/>
              <w:right w:val="single" w:sz="4" w:space="0" w:color="auto"/>
            </w:tcBorders>
            <w:vAlign w:val="center"/>
            <w:hideMark/>
          </w:tcPr>
          <w:p w14:paraId="472279E0"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177,553</w:t>
            </w:r>
          </w:p>
        </w:tc>
      </w:tr>
      <w:tr w:rsidR="00F81095" w:rsidRPr="00F81095" w14:paraId="54CE4629"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7356AE5B"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2010</w:t>
            </w:r>
          </w:p>
        </w:tc>
        <w:tc>
          <w:tcPr>
            <w:tcW w:w="2020" w:type="dxa"/>
            <w:tcBorders>
              <w:top w:val="nil"/>
              <w:left w:val="nil"/>
              <w:bottom w:val="single" w:sz="4" w:space="0" w:color="auto"/>
              <w:right w:val="single" w:sz="4" w:space="0" w:color="auto"/>
            </w:tcBorders>
            <w:vAlign w:val="center"/>
            <w:hideMark/>
          </w:tcPr>
          <w:p w14:paraId="5F6BD5F6"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93.32</w:t>
            </w:r>
          </w:p>
        </w:tc>
        <w:tc>
          <w:tcPr>
            <w:tcW w:w="2200" w:type="dxa"/>
            <w:tcBorders>
              <w:top w:val="nil"/>
              <w:left w:val="nil"/>
              <w:bottom w:val="single" w:sz="4" w:space="0" w:color="auto"/>
              <w:right w:val="single" w:sz="4" w:space="0" w:color="auto"/>
            </w:tcBorders>
            <w:vAlign w:val="center"/>
            <w:hideMark/>
          </w:tcPr>
          <w:p w14:paraId="46FC36C7"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199,083</w:t>
            </w:r>
          </w:p>
        </w:tc>
      </w:tr>
      <w:tr w:rsidR="00F81095" w:rsidRPr="00F81095" w14:paraId="0285EBE7"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086672E2"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2011</w:t>
            </w:r>
          </w:p>
        </w:tc>
        <w:tc>
          <w:tcPr>
            <w:tcW w:w="2020" w:type="dxa"/>
            <w:tcBorders>
              <w:top w:val="nil"/>
              <w:left w:val="nil"/>
              <w:bottom w:val="single" w:sz="4" w:space="0" w:color="auto"/>
              <w:right w:val="single" w:sz="4" w:space="0" w:color="auto"/>
            </w:tcBorders>
            <w:vAlign w:val="center"/>
            <w:hideMark/>
          </w:tcPr>
          <w:p w14:paraId="5D51EF5D"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89.78</w:t>
            </w:r>
          </w:p>
        </w:tc>
        <w:tc>
          <w:tcPr>
            <w:tcW w:w="2200" w:type="dxa"/>
            <w:tcBorders>
              <w:top w:val="nil"/>
              <w:left w:val="nil"/>
              <w:bottom w:val="single" w:sz="4" w:space="0" w:color="auto"/>
              <w:right w:val="single" w:sz="4" w:space="0" w:color="auto"/>
            </w:tcBorders>
            <w:vAlign w:val="center"/>
            <w:hideMark/>
          </w:tcPr>
          <w:p w14:paraId="2B58A385"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192,357</w:t>
            </w:r>
          </w:p>
        </w:tc>
      </w:tr>
      <w:tr w:rsidR="00F81095" w:rsidRPr="00F81095" w14:paraId="2E5CF8D2"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66B7B470"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2012</w:t>
            </w:r>
          </w:p>
        </w:tc>
        <w:tc>
          <w:tcPr>
            <w:tcW w:w="2020" w:type="dxa"/>
            <w:tcBorders>
              <w:top w:val="nil"/>
              <w:left w:val="nil"/>
              <w:bottom w:val="single" w:sz="4" w:space="0" w:color="auto"/>
              <w:right w:val="single" w:sz="4" w:space="0" w:color="auto"/>
            </w:tcBorders>
            <w:vAlign w:val="center"/>
            <w:hideMark/>
          </w:tcPr>
          <w:p w14:paraId="30921D62"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86.42</w:t>
            </w:r>
          </w:p>
        </w:tc>
        <w:tc>
          <w:tcPr>
            <w:tcW w:w="2200" w:type="dxa"/>
            <w:tcBorders>
              <w:top w:val="nil"/>
              <w:left w:val="nil"/>
              <w:bottom w:val="single" w:sz="4" w:space="0" w:color="auto"/>
              <w:right w:val="single" w:sz="4" w:space="0" w:color="auto"/>
            </w:tcBorders>
            <w:vAlign w:val="center"/>
            <w:hideMark/>
          </w:tcPr>
          <w:p w14:paraId="707E0A45"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235,386</w:t>
            </w:r>
          </w:p>
        </w:tc>
      </w:tr>
      <w:tr w:rsidR="00F81095" w:rsidRPr="00F81095" w14:paraId="012DD706"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3FC25E97"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2013</w:t>
            </w:r>
          </w:p>
        </w:tc>
        <w:tc>
          <w:tcPr>
            <w:tcW w:w="2020" w:type="dxa"/>
            <w:tcBorders>
              <w:top w:val="nil"/>
              <w:left w:val="nil"/>
              <w:bottom w:val="single" w:sz="4" w:space="0" w:color="auto"/>
              <w:right w:val="single" w:sz="4" w:space="0" w:color="auto"/>
            </w:tcBorders>
            <w:vAlign w:val="center"/>
            <w:hideMark/>
          </w:tcPr>
          <w:p w14:paraId="1EB39994"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90.49</w:t>
            </w:r>
          </w:p>
        </w:tc>
        <w:tc>
          <w:tcPr>
            <w:tcW w:w="2200" w:type="dxa"/>
            <w:tcBorders>
              <w:top w:val="nil"/>
              <w:left w:val="nil"/>
              <w:bottom w:val="single" w:sz="4" w:space="0" w:color="auto"/>
              <w:right w:val="single" w:sz="4" w:space="0" w:color="auto"/>
            </w:tcBorders>
            <w:vAlign w:val="center"/>
            <w:hideMark/>
          </w:tcPr>
          <w:p w14:paraId="6B178A9F"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258,856</w:t>
            </w:r>
          </w:p>
        </w:tc>
      </w:tr>
      <w:tr w:rsidR="00F81095" w:rsidRPr="00F81095" w14:paraId="4E057793"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569EABF6"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2014</w:t>
            </w:r>
          </w:p>
        </w:tc>
        <w:tc>
          <w:tcPr>
            <w:tcW w:w="2020" w:type="dxa"/>
            <w:tcBorders>
              <w:top w:val="nil"/>
              <w:left w:val="nil"/>
              <w:bottom w:val="single" w:sz="4" w:space="0" w:color="auto"/>
              <w:right w:val="single" w:sz="4" w:space="0" w:color="auto"/>
            </w:tcBorders>
            <w:vAlign w:val="center"/>
            <w:hideMark/>
          </w:tcPr>
          <w:p w14:paraId="2037F1B5"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98.94</w:t>
            </w:r>
          </w:p>
        </w:tc>
        <w:tc>
          <w:tcPr>
            <w:tcW w:w="2200" w:type="dxa"/>
            <w:tcBorders>
              <w:top w:val="nil"/>
              <w:left w:val="nil"/>
              <w:bottom w:val="single" w:sz="4" w:space="0" w:color="auto"/>
              <w:right w:val="single" w:sz="4" w:space="0" w:color="auto"/>
            </w:tcBorders>
            <w:vAlign w:val="center"/>
            <w:hideMark/>
          </w:tcPr>
          <w:p w14:paraId="1D407CEE"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322,004</w:t>
            </w:r>
          </w:p>
        </w:tc>
      </w:tr>
      <w:tr w:rsidR="00F81095" w:rsidRPr="00F81095" w14:paraId="6CB878CA"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42C91652"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2015</w:t>
            </w:r>
          </w:p>
        </w:tc>
        <w:tc>
          <w:tcPr>
            <w:tcW w:w="2020" w:type="dxa"/>
            <w:tcBorders>
              <w:top w:val="nil"/>
              <w:left w:val="nil"/>
              <w:bottom w:val="single" w:sz="4" w:space="0" w:color="auto"/>
              <w:right w:val="single" w:sz="4" w:space="0" w:color="auto"/>
            </w:tcBorders>
            <w:vAlign w:val="center"/>
            <w:hideMark/>
          </w:tcPr>
          <w:p w14:paraId="376A326A"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67.36</w:t>
            </w:r>
          </w:p>
        </w:tc>
        <w:tc>
          <w:tcPr>
            <w:tcW w:w="2200" w:type="dxa"/>
            <w:tcBorders>
              <w:top w:val="nil"/>
              <w:left w:val="nil"/>
              <w:bottom w:val="single" w:sz="4" w:space="0" w:color="auto"/>
              <w:right w:val="single" w:sz="4" w:space="0" w:color="auto"/>
            </w:tcBorders>
            <w:vAlign w:val="center"/>
            <w:hideMark/>
          </w:tcPr>
          <w:p w14:paraId="001CD232"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341,608</w:t>
            </w:r>
          </w:p>
        </w:tc>
      </w:tr>
      <w:tr w:rsidR="00F81095" w:rsidRPr="00F81095" w14:paraId="7C228E84"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7BFED92A"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lastRenderedPageBreak/>
              <w:t>2016</w:t>
            </w:r>
          </w:p>
        </w:tc>
        <w:tc>
          <w:tcPr>
            <w:tcW w:w="2020" w:type="dxa"/>
            <w:tcBorders>
              <w:top w:val="nil"/>
              <w:left w:val="nil"/>
              <w:bottom w:val="single" w:sz="4" w:space="0" w:color="auto"/>
              <w:right w:val="single" w:sz="4" w:space="0" w:color="auto"/>
            </w:tcBorders>
            <w:vAlign w:val="center"/>
            <w:hideMark/>
          </w:tcPr>
          <w:p w14:paraId="7ADE0B2D"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67.29</w:t>
            </w:r>
          </w:p>
        </w:tc>
        <w:tc>
          <w:tcPr>
            <w:tcW w:w="2200" w:type="dxa"/>
            <w:tcBorders>
              <w:top w:val="nil"/>
              <w:left w:val="nil"/>
              <w:bottom w:val="single" w:sz="4" w:space="0" w:color="auto"/>
              <w:right w:val="single" w:sz="4" w:space="0" w:color="auto"/>
            </w:tcBorders>
            <w:vAlign w:val="center"/>
            <w:hideMark/>
          </w:tcPr>
          <w:p w14:paraId="335FC558"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365,913</w:t>
            </w:r>
          </w:p>
        </w:tc>
      </w:tr>
      <w:tr w:rsidR="00F81095" w:rsidRPr="00F81095" w14:paraId="2BC0D5F6"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54C25E14"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2017</w:t>
            </w:r>
          </w:p>
        </w:tc>
        <w:tc>
          <w:tcPr>
            <w:tcW w:w="2020" w:type="dxa"/>
            <w:tcBorders>
              <w:top w:val="nil"/>
              <w:left w:val="nil"/>
              <w:bottom w:val="single" w:sz="4" w:space="0" w:color="auto"/>
              <w:right w:val="single" w:sz="4" w:space="0" w:color="auto"/>
            </w:tcBorders>
            <w:vAlign w:val="center"/>
            <w:hideMark/>
          </w:tcPr>
          <w:p w14:paraId="3FA0167C"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67.89</w:t>
            </w:r>
          </w:p>
        </w:tc>
        <w:tc>
          <w:tcPr>
            <w:tcW w:w="2200" w:type="dxa"/>
            <w:tcBorders>
              <w:top w:val="nil"/>
              <w:left w:val="nil"/>
              <w:bottom w:val="single" w:sz="4" w:space="0" w:color="auto"/>
              <w:right w:val="single" w:sz="4" w:space="0" w:color="auto"/>
            </w:tcBorders>
            <w:vAlign w:val="center"/>
            <w:hideMark/>
          </w:tcPr>
          <w:p w14:paraId="7B8B5821"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351,120</w:t>
            </w:r>
          </w:p>
        </w:tc>
      </w:tr>
      <w:tr w:rsidR="00F81095" w:rsidRPr="00F81095" w14:paraId="73566259"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1FDD0E78"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2018</w:t>
            </w:r>
          </w:p>
        </w:tc>
        <w:tc>
          <w:tcPr>
            <w:tcW w:w="2020" w:type="dxa"/>
            <w:tcBorders>
              <w:top w:val="nil"/>
              <w:left w:val="nil"/>
              <w:bottom w:val="single" w:sz="4" w:space="0" w:color="auto"/>
              <w:right w:val="single" w:sz="4" w:space="0" w:color="auto"/>
            </w:tcBorders>
            <w:vAlign w:val="center"/>
            <w:hideMark/>
          </w:tcPr>
          <w:p w14:paraId="7E80CBBC"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66.05</w:t>
            </w:r>
          </w:p>
        </w:tc>
        <w:tc>
          <w:tcPr>
            <w:tcW w:w="2200" w:type="dxa"/>
            <w:tcBorders>
              <w:top w:val="nil"/>
              <w:left w:val="nil"/>
              <w:bottom w:val="single" w:sz="4" w:space="0" w:color="auto"/>
              <w:right w:val="single" w:sz="4" w:space="0" w:color="auto"/>
            </w:tcBorders>
            <w:vAlign w:val="center"/>
            <w:hideMark/>
          </w:tcPr>
          <w:p w14:paraId="2E14E9B4"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339,329</w:t>
            </w:r>
          </w:p>
        </w:tc>
      </w:tr>
      <w:tr w:rsidR="00F81095" w:rsidRPr="00F81095" w14:paraId="0E435FE7"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5407E6DE"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2019</w:t>
            </w:r>
          </w:p>
        </w:tc>
        <w:tc>
          <w:tcPr>
            <w:tcW w:w="2020" w:type="dxa"/>
            <w:tcBorders>
              <w:top w:val="nil"/>
              <w:left w:val="nil"/>
              <w:bottom w:val="single" w:sz="4" w:space="0" w:color="auto"/>
              <w:right w:val="single" w:sz="4" w:space="0" w:color="auto"/>
            </w:tcBorders>
            <w:vAlign w:val="center"/>
            <w:hideMark/>
          </w:tcPr>
          <w:p w14:paraId="4E30BA46"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62.95</w:t>
            </w:r>
          </w:p>
        </w:tc>
        <w:tc>
          <w:tcPr>
            <w:tcW w:w="2200" w:type="dxa"/>
            <w:tcBorders>
              <w:top w:val="nil"/>
              <w:left w:val="nil"/>
              <w:bottom w:val="single" w:sz="4" w:space="0" w:color="auto"/>
              <w:right w:val="single" w:sz="4" w:space="0" w:color="auto"/>
            </w:tcBorders>
            <w:vAlign w:val="center"/>
            <w:hideMark/>
          </w:tcPr>
          <w:p w14:paraId="3E66F149"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352,486</w:t>
            </w:r>
          </w:p>
        </w:tc>
      </w:tr>
      <w:tr w:rsidR="00F81095" w:rsidRPr="00F81095" w14:paraId="0A948CE0"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49C2E75A"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2020</w:t>
            </w:r>
          </w:p>
        </w:tc>
        <w:tc>
          <w:tcPr>
            <w:tcW w:w="2020" w:type="dxa"/>
            <w:tcBorders>
              <w:top w:val="nil"/>
              <w:left w:val="nil"/>
              <w:bottom w:val="single" w:sz="4" w:space="0" w:color="auto"/>
              <w:right w:val="single" w:sz="4" w:space="0" w:color="auto"/>
            </w:tcBorders>
            <w:vAlign w:val="center"/>
            <w:hideMark/>
          </w:tcPr>
          <w:p w14:paraId="553237A5"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60.17</w:t>
            </w:r>
          </w:p>
        </w:tc>
        <w:tc>
          <w:tcPr>
            <w:tcW w:w="2200" w:type="dxa"/>
            <w:tcBorders>
              <w:top w:val="nil"/>
              <w:left w:val="nil"/>
              <w:bottom w:val="single" w:sz="4" w:space="0" w:color="auto"/>
              <w:right w:val="single" w:sz="4" w:space="0" w:color="auto"/>
            </w:tcBorders>
            <w:vAlign w:val="center"/>
            <w:hideMark/>
          </w:tcPr>
          <w:p w14:paraId="028D8784"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364,335</w:t>
            </w:r>
          </w:p>
        </w:tc>
      </w:tr>
      <w:tr w:rsidR="00F81095" w:rsidRPr="00F81095" w14:paraId="45218539"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7FED3082"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2021</w:t>
            </w:r>
          </w:p>
        </w:tc>
        <w:tc>
          <w:tcPr>
            <w:tcW w:w="2020" w:type="dxa"/>
            <w:tcBorders>
              <w:top w:val="nil"/>
              <w:left w:val="nil"/>
              <w:bottom w:val="single" w:sz="4" w:space="0" w:color="auto"/>
              <w:right w:val="single" w:sz="4" w:space="0" w:color="auto"/>
            </w:tcBorders>
            <w:vAlign w:val="center"/>
            <w:hideMark/>
          </w:tcPr>
          <w:p w14:paraId="496AF8D5"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58.6</w:t>
            </w:r>
          </w:p>
        </w:tc>
        <w:tc>
          <w:tcPr>
            <w:tcW w:w="2200" w:type="dxa"/>
            <w:tcBorders>
              <w:top w:val="nil"/>
              <w:left w:val="nil"/>
              <w:bottom w:val="single" w:sz="4" w:space="0" w:color="auto"/>
              <w:right w:val="single" w:sz="4" w:space="0" w:color="auto"/>
            </w:tcBorders>
            <w:vAlign w:val="center"/>
            <w:hideMark/>
          </w:tcPr>
          <w:p w14:paraId="27D8D9A0"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342,890</w:t>
            </w:r>
          </w:p>
        </w:tc>
      </w:tr>
      <w:tr w:rsidR="00F81095" w:rsidRPr="00F81095" w14:paraId="04795658" w14:textId="77777777" w:rsidTr="00F81095">
        <w:trPr>
          <w:trHeight w:val="312"/>
          <w:jc w:val="center"/>
        </w:trPr>
        <w:tc>
          <w:tcPr>
            <w:tcW w:w="1600" w:type="dxa"/>
            <w:tcBorders>
              <w:top w:val="nil"/>
              <w:left w:val="single" w:sz="4" w:space="0" w:color="auto"/>
              <w:bottom w:val="single" w:sz="4" w:space="0" w:color="auto"/>
              <w:right w:val="single" w:sz="4" w:space="0" w:color="auto"/>
            </w:tcBorders>
            <w:vAlign w:val="center"/>
            <w:hideMark/>
          </w:tcPr>
          <w:p w14:paraId="3200BB18"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2022</w:t>
            </w:r>
          </w:p>
        </w:tc>
        <w:tc>
          <w:tcPr>
            <w:tcW w:w="2020" w:type="dxa"/>
            <w:tcBorders>
              <w:top w:val="nil"/>
              <w:left w:val="nil"/>
              <w:bottom w:val="single" w:sz="4" w:space="0" w:color="auto"/>
              <w:right w:val="single" w:sz="4" w:space="0" w:color="auto"/>
            </w:tcBorders>
            <w:vAlign w:val="center"/>
            <w:hideMark/>
          </w:tcPr>
          <w:p w14:paraId="611643F6"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56.49</w:t>
            </w:r>
          </w:p>
        </w:tc>
        <w:tc>
          <w:tcPr>
            <w:tcW w:w="2200" w:type="dxa"/>
            <w:tcBorders>
              <w:top w:val="nil"/>
              <w:left w:val="nil"/>
              <w:bottom w:val="single" w:sz="4" w:space="0" w:color="auto"/>
              <w:right w:val="single" w:sz="4" w:space="0" w:color="auto"/>
            </w:tcBorders>
            <w:vAlign w:val="center"/>
            <w:hideMark/>
          </w:tcPr>
          <w:p w14:paraId="2E3A0FB5" w14:textId="77777777" w:rsidR="00F81095" w:rsidRPr="00F81095" w:rsidRDefault="00F81095" w:rsidP="00F81095">
            <w:pPr>
              <w:spacing w:after="0" w:line="240" w:lineRule="auto"/>
              <w:jc w:val="center"/>
              <w:rPr>
                <w:rFonts w:ascii="Times New Roman" w:eastAsia="Times New Roman" w:hAnsi="Times New Roman" w:cs="Times New Roman"/>
                <w:color w:val="1F1F1F"/>
                <w:kern w:val="0"/>
                <w14:ligatures w14:val="none"/>
              </w:rPr>
            </w:pPr>
            <w:r w:rsidRPr="00F81095">
              <w:rPr>
                <w:rFonts w:ascii="Times New Roman" w:eastAsia="Times New Roman" w:hAnsi="Times New Roman" w:cs="Times New Roman"/>
                <w:color w:val="1F1F1F"/>
                <w:kern w:val="0"/>
                <w14:ligatures w14:val="none"/>
              </w:rPr>
              <w:t>354,479</w:t>
            </w:r>
          </w:p>
        </w:tc>
      </w:tr>
    </w:tbl>
    <w:p w14:paraId="562B8468" w14:textId="6D1E3F74" w:rsidR="00F81095" w:rsidRDefault="00F81095" w:rsidP="00F81095">
      <w:pPr>
        <w:spacing w:line="360" w:lineRule="auto"/>
        <w:ind w:firstLine="720"/>
        <w:jc w:val="center"/>
        <w:rPr>
          <w:rFonts w:ascii="Times New Roman" w:hAnsi="Times New Roman" w:cs="Times New Roman"/>
        </w:rPr>
      </w:pPr>
      <w:r w:rsidRPr="00F81095">
        <w:rPr>
          <w:rFonts w:ascii="Times New Roman" w:hAnsi="Times New Roman" w:cs="Times New Roman"/>
        </w:rPr>
        <w:t>Source: Own calculations</w:t>
      </w:r>
      <w:r>
        <w:rPr>
          <w:rFonts w:ascii="Times New Roman" w:hAnsi="Times New Roman" w:cs="Times New Roman"/>
        </w:rPr>
        <w:t>4</w:t>
      </w:r>
    </w:p>
    <w:p w14:paraId="771DB34D" w14:textId="29B243CC" w:rsidR="00F81095" w:rsidRDefault="00F81095" w:rsidP="00F81095">
      <w:pPr>
        <w:spacing w:line="360" w:lineRule="auto"/>
        <w:ind w:firstLine="720"/>
        <w:jc w:val="both"/>
        <w:rPr>
          <w:rFonts w:ascii="Times New Roman" w:hAnsi="Times New Roman" w:cs="Times New Roman"/>
        </w:rPr>
      </w:pPr>
      <w:r w:rsidRPr="00F81095">
        <w:rPr>
          <w:rFonts w:ascii="Times New Roman" w:hAnsi="Times New Roman" w:cs="Times New Roman"/>
          <w:b/>
          <w:bCs/>
        </w:rPr>
        <w:t>Conclusions from Chapter Two:</w:t>
      </w:r>
      <w:r w:rsidRPr="00F81095">
        <w:rPr>
          <w:rFonts w:ascii="Times New Roman" w:hAnsi="Times New Roman" w:cs="Times New Roman"/>
        </w:rPr>
        <w:t xml:space="preserve"> The methodological toolkit developed in the second chapter represents an integrated framework that combines macroeconomic data from FADN, primary empirical data from surveys and focus groups, and microeconomic case studies. The application of the relative comparative assessment, the stochastic model, and the correlation analysis provides the opportunity to simultaneously measure economic and environmental efficiency and to forecast the effects of the Green Deal's regulatory requirements on the structure of the Bulgarian agricultural sector. The testing of sustainable practices in the three case study holdings confirms their applicability and economic expediency, which creates an empirical basis for formulating differentiated recommendations in the subsequent chapters of the dissertation.</w:t>
      </w:r>
    </w:p>
    <w:p w14:paraId="3CD00A1A" w14:textId="77777777" w:rsidR="00F81095" w:rsidRPr="00507102" w:rsidRDefault="00F81095" w:rsidP="00507102">
      <w:pPr>
        <w:pStyle w:val="Heading2"/>
        <w:rPr>
          <w:rFonts w:ascii="Times New Roman" w:hAnsi="Times New Roman" w:cs="Times New Roman"/>
          <w:b/>
          <w:bCs/>
          <w:color w:val="auto"/>
          <w:sz w:val="24"/>
          <w:szCs w:val="24"/>
        </w:rPr>
      </w:pPr>
      <w:bookmarkStart w:id="4" w:name="_Toc229127774"/>
      <w:r w:rsidRPr="00507102">
        <w:rPr>
          <w:rFonts w:ascii="Times New Roman" w:hAnsi="Times New Roman" w:cs="Times New Roman"/>
          <w:b/>
          <w:bCs/>
          <w:color w:val="auto"/>
          <w:sz w:val="24"/>
          <w:szCs w:val="24"/>
        </w:rPr>
        <w:t>CHAPTER THREE: STATE AND GUIDELINES FOR INCREASING THE ECONOMIC AND ENVIRONMENTAL EFFICIENCY OF BULGARIAN AGRICULTURAL HOLDINGS</w:t>
      </w:r>
      <w:bookmarkEnd w:id="4"/>
    </w:p>
    <w:p w14:paraId="142060B0" w14:textId="5CC706DA" w:rsidR="00F81095" w:rsidRDefault="00F81095" w:rsidP="00F81095">
      <w:pPr>
        <w:spacing w:line="360" w:lineRule="auto"/>
        <w:ind w:firstLine="720"/>
        <w:jc w:val="both"/>
        <w:rPr>
          <w:rFonts w:ascii="Times New Roman" w:hAnsi="Times New Roman" w:cs="Times New Roman"/>
        </w:rPr>
      </w:pPr>
      <w:r w:rsidRPr="00F81095">
        <w:rPr>
          <w:rFonts w:ascii="Times New Roman" w:hAnsi="Times New Roman" w:cs="Times New Roman"/>
        </w:rPr>
        <w:t>In the third chapter of the dissertation, the empirical results from the application of the developed methodological toolkit are presented. The first part of the chapter presents the results from the application of the RCA</w:t>
      </w:r>
      <w:r>
        <w:rPr>
          <w:rFonts w:ascii="Times New Roman" w:hAnsi="Times New Roman" w:cs="Times New Roman"/>
        </w:rPr>
        <w:t xml:space="preserve">. </w:t>
      </w:r>
      <w:r w:rsidRPr="00F81095">
        <w:rPr>
          <w:rFonts w:ascii="Times New Roman" w:hAnsi="Times New Roman" w:cs="Times New Roman"/>
        </w:rPr>
        <w:t xml:space="preserve">The analysis shows that the economic efficiency of Bulgarian agricultural holdings is characterized by significant heterogeneity, which is determined by production specialization. This reveals structural problems in the sector related to the fragmentation of land use, limited access to capital and technology, as well as the uneven distribution of investments in modernization. The economic efficiency of production costs shows the highest values in holdings specialized in field crops and mixed farming, while livestock holdings experience greater pressure on their cost structure due to higher feed and energy prices. The dynamics of this indicator for the period 2007–2023 reveal that the 2008–2009 crisis and the subsequent years of instability in the raw material markets have had a lasting impact on the efficiency of smaller holdings. Larger holdings manage to adapt to changes more quickly. This </w:t>
      </w:r>
      <w:r w:rsidRPr="00F81095">
        <w:rPr>
          <w:rFonts w:ascii="Times New Roman" w:hAnsi="Times New Roman" w:cs="Times New Roman"/>
        </w:rPr>
        <w:lastRenderedPageBreak/>
        <w:t>trend is also confirmed by the graph below, which illustrates the dynamics of the economic efficiency of production costs:</w:t>
      </w:r>
    </w:p>
    <w:p w14:paraId="7F23C522" w14:textId="672CE308" w:rsidR="00F81095" w:rsidRDefault="00F81095" w:rsidP="00F81095">
      <w:pPr>
        <w:spacing w:line="360" w:lineRule="auto"/>
        <w:ind w:firstLine="720"/>
        <w:jc w:val="center"/>
        <w:rPr>
          <w:rFonts w:ascii="Times New Roman" w:hAnsi="Times New Roman" w:cs="Times New Roman"/>
        </w:rPr>
      </w:pPr>
      <w:r w:rsidRPr="00F81095">
        <w:rPr>
          <w:rFonts w:ascii="Times New Roman" w:hAnsi="Times New Roman" w:cs="Times New Roman"/>
        </w:rPr>
        <w:t>Figure 7: Economic efficiency of production costs</w:t>
      </w:r>
    </w:p>
    <w:p w14:paraId="5901BB58" w14:textId="761D591E" w:rsidR="00F81095" w:rsidRDefault="00F81095" w:rsidP="00F81095">
      <w:pPr>
        <w:spacing w:line="360" w:lineRule="auto"/>
        <w:ind w:firstLine="720"/>
        <w:jc w:val="center"/>
        <w:rPr>
          <w:rFonts w:ascii="Times New Roman" w:hAnsi="Times New Roman" w:cs="Times New Roman"/>
        </w:rPr>
      </w:pPr>
      <w:r w:rsidRPr="00EE6F4E">
        <w:rPr>
          <w:rFonts w:ascii="Times New Roman" w:hAnsi="Times New Roman"/>
          <w:noProof/>
        </w:rPr>
        <w:drawing>
          <wp:inline distT="0" distB="0" distL="0" distR="0" wp14:anchorId="5EF0C15E" wp14:editId="55371B86">
            <wp:extent cx="4874260" cy="2449195"/>
            <wp:effectExtent l="0" t="0" r="0" b="0"/>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D8FE86A" w14:textId="58068E87" w:rsidR="00F81095" w:rsidRDefault="00F81095" w:rsidP="00F81095">
      <w:pPr>
        <w:spacing w:line="360" w:lineRule="auto"/>
        <w:ind w:firstLine="720"/>
        <w:jc w:val="center"/>
        <w:rPr>
          <w:rFonts w:ascii="Times New Roman" w:hAnsi="Times New Roman" w:cs="Times New Roman"/>
        </w:rPr>
      </w:pPr>
      <w:r w:rsidRPr="00F81095">
        <w:rPr>
          <w:rFonts w:ascii="Times New Roman" w:hAnsi="Times New Roman" w:cs="Times New Roman"/>
        </w:rPr>
        <w:t>Source: own scheme</w:t>
      </w:r>
    </w:p>
    <w:p w14:paraId="0463EE00" w14:textId="4A7829F9" w:rsidR="00F81095" w:rsidRDefault="00F81095" w:rsidP="00F81095">
      <w:pPr>
        <w:spacing w:line="360" w:lineRule="auto"/>
        <w:ind w:firstLine="720"/>
        <w:jc w:val="both"/>
        <w:rPr>
          <w:rFonts w:ascii="Times New Roman" w:hAnsi="Times New Roman" w:cs="Times New Roman"/>
        </w:rPr>
      </w:pPr>
      <w:r w:rsidRPr="00F81095">
        <w:rPr>
          <w:rFonts w:ascii="Times New Roman" w:hAnsi="Times New Roman" w:cs="Times New Roman"/>
        </w:rPr>
        <w:t>The assessment of the economic efficiency of labor represents a key element of the analysis of production and resource efficiency of agricultural holdings, as human labor remains a fundamental factor through which technological, organizational, and managerial decisions are materialized. The data for the period 2007–2017 (Figure 5) clearly show a steady upward trend in efficiency, reflecting the gradual transition of Bulgarian agriculture from labor-intensive to capital- and technology-intensive production models.</w:t>
      </w:r>
    </w:p>
    <w:p w14:paraId="50CC179D" w14:textId="50B119B7" w:rsidR="00F81095" w:rsidRDefault="00F81095" w:rsidP="00F81095">
      <w:pPr>
        <w:spacing w:line="360" w:lineRule="auto"/>
        <w:ind w:firstLine="720"/>
        <w:jc w:val="center"/>
        <w:rPr>
          <w:rFonts w:ascii="Times New Roman" w:hAnsi="Times New Roman" w:cs="Times New Roman"/>
        </w:rPr>
      </w:pPr>
      <w:r w:rsidRPr="00F81095">
        <w:rPr>
          <w:rFonts w:ascii="Times New Roman" w:hAnsi="Times New Roman" w:cs="Times New Roman"/>
        </w:rPr>
        <w:t>Figure 8: Economic efficiency of labor</w:t>
      </w:r>
    </w:p>
    <w:p w14:paraId="7E57AF43" w14:textId="419EE58B" w:rsidR="00F81095" w:rsidRDefault="00F81095" w:rsidP="00F81095">
      <w:pPr>
        <w:spacing w:line="360" w:lineRule="auto"/>
        <w:ind w:firstLine="720"/>
        <w:jc w:val="center"/>
        <w:rPr>
          <w:rFonts w:ascii="Times New Roman" w:hAnsi="Times New Roman" w:cs="Times New Roman"/>
        </w:rPr>
      </w:pPr>
      <w:r w:rsidRPr="00EE6F4E">
        <w:rPr>
          <w:rFonts w:ascii="Times New Roman" w:hAnsi="Times New Roman"/>
          <w:noProof/>
        </w:rPr>
        <w:lastRenderedPageBreak/>
        <w:drawing>
          <wp:inline distT="0" distB="0" distL="0" distR="0" wp14:anchorId="07D8D85F" wp14:editId="24F163F1">
            <wp:extent cx="4953635" cy="2663825"/>
            <wp:effectExtent l="0" t="0" r="0" b="0"/>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B8458A8" w14:textId="4F4A1007" w:rsidR="00F81095" w:rsidRDefault="00F81095" w:rsidP="00F81095">
      <w:pPr>
        <w:spacing w:line="360" w:lineRule="auto"/>
        <w:ind w:firstLine="720"/>
        <w:jc w:val="center"/>
        <w:rPr>
          <w:rFonts w:ascii="Times New Roman" w:hAnsi="Times New Roman" w:cs="Times New Roman"/>
        </w:rPr>
      </w:pPr>
      <w:r w:rsidRPr="00F81095">
        <w:rPr>
          <w:rFonts w:ascii="Times New Roman" w:hAnsi="Times New Roman" w:cs="Times New Roman"/>
        </w:rPr>
        <w:t>Source: own scheme</w:t>
      </w:r>
    </w:p>
    <w:p w14:paraId="498C2098" w14:textId="52889E14" w:rsidR="001E285D" w:rsidRDefault="001E285D" w:rsidP="001E285D">
      <w:pPr>
        <w:spacing w:line="360" w:lineRule="auto"/>
        <w:ind w:firstLine="720"/>
        <w:jc w:val="both"/>
        <w:rPr>
          <w:rFonts w:ascii="Times New Roman" w:hAnsi="Times New Roman" w:cs="Times New Roman"/>
        </w:rPr>
      </w:pPr>
      <w:r w:rsidRPr="001E285D">
        <w:rPr>
          <w:rFonts w:ascii="Times New Roman" w:hAnsi="Times New Roman" w:cs="Times New Roman"/>
        </w:rPr>
        <w:t>At the same time, small family farms continue to rely primarily on their own labor, which limits opportunities for growth and investment. The efficiency of capital and land use also shows clearly defined differences. Holdings with a higher share of owned land and better access to investment loans achieve significantly higher returns. This confirms the first research hypothesis that the economic efficiency of agricultural holdings in Bulgaria differs significantly depending on their typology and economic size.</w:t>
      </w:r>
      <w:r>
        <w:rPr>
          <w:rFonts w:ascii="Times New Roman" w:hAnsi="Times New Roman" w:cs="Times New Roman"/>
        </w:rPr>
        <w:t xml:space="preserve"> </w:t>
      </w:r>
      <w:r w:rsidRPr="001E285D">
        <w:rPr>
          <w:rFonts w:ascii="Times New Roman" w:hAnsi="Times New Roman" w:cs="Times New Roman"/>
        </w:rPr>
        <w:t>The analysis of economic and environmental efficiency according to production specialization is particularly indicative. The results reveal that holdings specialized in field crops (TF1) achieve the highest economic efficiency in the short term, but at the same time have the lowest environmental efficiency due to the intensive use of mineral fertilizers and pesticides.</w:t>
      </w:r>
    </w:p>
    <w:p w14:paraId="55FE3FF6" w14:textId="18DE46E6" w:rsidR="001E285D" w:rsidRDefault="001E285D" w:rsidP="001E285D">
      <w:pPr>
        <w:spacing w:line="360" w:lineRule="auto"/>
        <w:ind w:firstLine="720"/>
        <w:jc w:val="center"/>
        <w:rPr>
          <w:rFonts w:ascii="Times New Roman" w:hAnsi="Times New Roman" w:cs="Times New Roman"/>
        </w:rPr>
      </w:pPr>
      <w:r w:rsidRPr="001E285D">
        <w:rPr>
          <w:rFonts w:ascii="Times New Roman" w:hAnsi="Times New Roman" w:cs="Times New Roman"/>
        </w:rPr>
        <w:t>Table 22: Values of economic efficiency indicators for agricultural holdings according to production specialization (2007–2023)</w:t>
      </w:r>
    </w:p>
    <w:tbl>
      <w:tblPr>
        <w:tblW w:w="9960" w:type="dxa"/>
        <w:jc w:val="center"/>
        <w:tblLook w:val="04A0" w:firstRow="1" w:lastRow="0" w:firstColumn="1" w:lastColumn="0" w:noHBand="0" w:noVBand="1"/>
      </w:tblPr>
      <w:tblGrid>
        <w:gridCol w:w="1220"/>
        <w:gridCol w:w="1960"/>
        <w:gridCol w:w="2440"/>
        <w:gridCol w:w="2140"/>
        <w:gridCol w:w="2200"/>
      </w:tblGrid>
      <w:tr w:rsidR="001E285D" w:rsidRPr="001E285D" w14:paraId="77563CC7" w14:textId="77777777" w:rsidTr="00BA1CD0">
        <w:trPr>
          <w:trHeight w:val="510"/>
          <w:jc w:val="center"/>
        </w:trPr>
        <w:tc>
          <w:tcPr>
            <w:tcW w:w="1220" w:type="dxa"/>
            <w:tcBorders>
              <w:top w:val="single" w:sz="4" w:space="0" w:color="auto"/>
              <w:left w:val="single" w:sz="4" w:space="0" w:color="auto"/>
              <w:bottom w:val="single" w:sz="4" w:space="0" w:color="auto"/>
              <w:right w:val="single" w:sz="4" w:space="0" w:color="auto"/>
            </w:tcBorders>
            <w:vAlign w:val="center"/>
            <w:hideMark/>
          </w:tcPr>
          <w:p w14:paraId="72119641" w14:textId="53425973"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1E285D">
              <w:rPr>
                <w:rFonts w:ascii="Times New Roman" w:eastAsia="Times New Roman" w:hAnsi="Times New Roman" w:cs="Times New Roman"/>
                <w:b/>
                <w:bCs/>
                <w:color w:val="000000"/>
              </w:rPr>
              <w:t>Year</w:t>
            </w:r>
          </w:p>
        </w:tc>
        <w:tc>
          <w:tcPr>
            <w:tcW w:w="1960" w:type="dxa"/>
            <w:tcBorders>
              <w:top w:val="single" w:sz="4" w:space="0" w:color="auto"/>
              <w:left w:val="nil"/>
              <w:bottom w:val="single" w:sz="4" w:space="0" w:color="auto"/>
              <w:right w:val="single" w:sz="4" w:space="0" w:color="auto"/>
            </w:tcBorders>
            <w:vAlign w:val="center"/>
            <w:hideMark/>
          </w:tcPr>
          <w:p w14:paraId="27BE3141" w14:textId="6D4052EE"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1E285D">
              <w:rPr>
                <w:rFonts w:ascii="Times New Roman" w:eastAsia="Times New Roman" w:hAnsi="Times New Roman" w:cs="Times New Roman"/>
                <w:b/>
                <w:bCs/>
                <w:color w:val="000000"/>
              </w:rPr>
              <w:t>Field crops</w:t>
            </w:r>
          </w:p>
        </w:tc>
        <w:tc>
          <w:tcPr>
            <w:tcW w:w="2440" w:type="dxa"/>
            <w:tcBorders>
              <w:top w:val="single" w:sz="4" w:space="0" w:color="auto"/>
              <w:left w:val="nil"/>
              <w:bottom w:val="single" w:sz="4" w:space="0" w:color="auto"/>
              <w:right w:val="single" w:sz="4" w:space="0" w:color="auto"/>
            </w:tcBorders>
            <w:vAlign w:val="center"/>
            <w:hideMark/>
          </w:tcPr>
          <w:p w14:paraId="467444FB" w14:textId="7AA94C3A"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1E285D">
              <w:rPr>
                <w:rFonts w:ascii="Times New Roman" w:eastAsia="Times New Roman" w:hAnsi="Times New Roman" w:cs="Times New Roman"/>
                <w:b/>
                <w:bCs/>
                <w:color w:val="000000"/>
              </w:rPr>
              <w:t>Horticulture</w:t>
            </w:r>
          </w:p>
        </w:tc>
        <w:tc>
          <w:tcPr>
            <w:tcW w:w="2140" w:type="dxa"/>
            <w:tcBorders>
              <w:top w:val="single" w:sz="4" w:space="0" w:color="auto"/>
              <w:left w:val="nil"/>
              <w:bottom w:val="single" w:sz="4" w:space="0" w:color="auto"/>
              <w:right w:val="single" w:sz="4" w:space="0" w:color="auto"/>
            </w:tcBorders>
            <w:vAlign w:val="center"/>
            <w:hideMark/>
          </w:tcPr>
          <w:p w14:paraId="75873E20" w14:textId="3CCFCBDD" w:rsidR="001E285D" w:rsidRPr="00F03796" w:rsidRDefault="001E285D" w:rsidP="00BA1CD0">
            <w:pPr>
              <w:spacing w:after="0" w:line="240" w:lineRule="auto"/>
              <w:jc w:val="center"/>
              <w:rPr>
                <w:rFonts w:ascii="Times New Roman" w:eastAsia="Times New Roman" w:hAnsi="Times New Roman" w:cs="Times New Roman"/>
                <w:b/>
                <w:bCs/>
                <w:color w:val="000000"/>
                <w:lang w:val="bg-BG"/>
              </w:rPr>
            </w:pPr>
            <w:r w:rsidRPr="001E285D">
              <w:rPr>
                <w:rFonts w:ascii="Times New Roman" w:eastAsia="Times New Roman" w:hAnsi="Times New Roman" w:cs="Times New Roman"/>
                <w:b/>
                <w:bCs/>
                <w:color w:val="000000"/>
              </w:rPr>
              <w:t>Viticulture</w:t>
            </w:r>
          </w:p>
        </w:tc>
        <w:tc>
          <w:tcPr>
            <w:tcW w:w="2200" w:type="dxa"/>
            <w:tcBorders>
              <w:top w:val="single" w:sz="4" w:space="0" w:color="auto"/>
              <w:left w:val="nil"/>
              <w:bottom w:val="single" w:sz="4" w:space="0" w:color="auto"/>
              <w:right w:val="single" w:sz="4" w:space="0" w:color="auto"/>
            </w:tcBorders>
            <w:vAlign w:val="center"/>
            <w:hideMark/>
          </w:tcPr>
          <w:p w14:paraId="606755DF" w14:textId="3F1575C3"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1E285D">
              <w:rPr>
                <w:rFonts w:ascii="Times New Roman" w:eastAsia="Times New Roman" w:hAnsi="Times New Roman" w:cs="Times New Roman"/>
                <w:b/>
                <w:bCs/>
                <w:color w:val="000000"/>
              </w:rPr>
              <w:t>Other permanent crops</w:t>
            </w:r>
          </w:p>
        </w:tc>
      </w:tr>
      <w:tr w:rsidR="001E285D" w:rsidRPr="00EE6F4E" w14:paraId="2F9A5D95"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4266864B"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2007</w:t>
            </w:r>
          </w:p>
        </w:tc>
        <w:tc>
          <w:tcPr>
            <w:tcW w:w="1960" w:type="dxa"/>
            <w:tcBorders>
              <w:top w:val="single" w:sz="4" w:space="0" w:color="auto"/>
              <w:left w:val="single" w:sz="4" w:space="0" w:color="auto"/>
              <w:bottom w:val="single" w:sz="4" w:space="0" w:color="auto"/>
              <w:right w:val="single" w:sz="4" w:space="0" w:color="auto"/>
            </w:tcBorders>
            <w:shd w:val="clear" w:color="000000" w:fill="F8E984"/>
            <w:noWrap/>
            <w:vAlign w:val="center"/>
            <w:hideMark/>
          </w:tcPr>
          <w:p w14:paraId="723AC99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0.32</w:t>
            </w:r>
          </w:p>
        </w:tc>
        <w:tc>
          <w:tcPr>
            <w:tcW w:w="2440" w:type="dxa"/>
            <w:tcBorders>
              <w:top w:val="single" w:sz="4" w:space="0" w:color="auto"/>
              <w:left w:val="single" w:sz="4" w:space="0" w:color="auto"/>
              <w:bottom w:val="single" w:sz="4" w:space="0" w:color="auto"/>
              <w:right w:val="single" w:sz="4" w:space="0" w:color="auto"/>
            </w:tcBorders>
            <w:shd w:val="clear" w:color="000000" w:fill="DDE283"/>
            <w:noWrap/>
            <w:vAlign w:val="center"/>
            <w:hideMark/>
          </w:tcPr>
          <w:p w14:paraId="545426E7"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0.41</w:t>
            </w:r>
          </w:p>
        </w:tc>
        <w:tc>
          <w:tcPr>
            <w:tcW w:w="2140" w:type="dxa"/>
            <w:tcBorders>
              <w:top w:val="single" w:sz="4" w:space="0" w:color="auto"/>
              <w:left w:val="single" w:sz="4" w:space="0" w:color="auto"/>
              <w:bottom w:val="single" w:sz="4" w:space="0" w:color="auto"/>
              <w:right w:val="single" w:sz="4" w:space="0" w:color="auto"/>
            </w:tcBorders>
            <w:shd w:val="clear" w:color="000000" w:fill="FDC97D"/>
            <w:noWrap/>
            <w:vAlign w:val="center"/>
            <w:hideMark/>
          </w:tcPr>
          <w:p w14:paraId="3B655ABD"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0.22</w:t>
            </w:r>
          </w:p>
        </w:tc>
        <w:tc>
          <w:tcPr>
            <w:tcW w:w="2200" w:type="dxa"/>
            <w:tcBorders>
              <w:top w:val="single" w:sz="4" w:space="0" w:color="auto"/>
              <w:left w:val="single" w:sz="4" w:space="0" w:color="auto"/>
              <w:bottom w:val="single" w:sz="4" w:space="0" w:color="auto"/>
              <w:right w:val="single" w:sz="4" w:space="0" w:color="auto"/>
            </w:tcBorders>
            <w:shd w:val="clear" w:color="000000" w:fill="FEEB84"/>
            <w:noWrap/>
            <w:vAlign w:val="center"/>
            <w:hideMark/>
          </w:tcPr>
          <w:p w14:paraId="3A56D0F0"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0.30</w:t>
            </w:r>
          </w:p>
        </w:tc>
      </w:tr>
      <w:tr w:rsidR="001E285D" w:rsidRPr="00EE6F4E" w14:paraId="1FA4AAD4"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5004E12A"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2008</w:t>
            </w:r>
          </w:p>
        </w:tc>
        <w:tc>
          <w:tcPr>
            <w:tcW w:w="1960" w:type="dxa"/>
            <w:tcBorders>
              <w:top w:val="single" w:sz="4" w:space="0" w:color="auto"/>
              <w:left w:val="single" w:sz="4" w:space="0" w:color="auto"/>
              <w:bottom w:val="single" w:sz="4" w:space="0" w:color="auto"/>
              <w:right w:val="single" w:sz="4" w:space="0" w:color="auto"/>
            </w:tcBorders>
            <w:shd w:val="clear" w:color="000000" w:fill="FEE082"/>
            <w:noWrap/>
            <w:vAlign w:val="center"/>
            <w:hideMark/>
          </w:tcPr>
          <w:p w14:paraId="663EDF66"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0.27</w:t>
            </w:r>
          </w:p>
        </w:tc>
        <w:tc>
          <w:tcPr>
            <w:tcW w:w="2440" w:type="dxa"/>
            <w:tcBorders>
              <w:top w:val="single" w:sz="4" w:space="0" w:color="auto"/>
              <w:left w:val="single" w:sz="4" w:space="0" w:color="auto"/>
              <w:bottom w:val="single" w:sz="4" w:space="0" w:color="auto"/>
              <w:right w:val="single" w:sz="4" w:space="0" w:color="auto"/>
            </w:tcBorders>
            <w:shd w:val="clear" w:color="000000" w:fill="E3E383"/>
            <w:noWrap/>
            <w:vAlign w:val="center"/>
            <w:hideMark/>
          </w:tcPr>
          <w:p w14:paraId="150D2F6A"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0.39</w:t>
            </w:r>
          </w:p>
        </w:tc>
        <w:tc>
          <w:tcPr>
            <w:tcW w:w="2140" w:type="dxa"/>
            <w:tcBorders>
              <w:top w:val="single" w:sz="4" w:space="0" w:color="auto"/>
              <w:left w:val="single" w:sz="4" w:space="0" w:color="auto"/>
              <w:bottom w:val="single" w:sz="4" w:space="0" w:color="auto"/>
              <w:right w:val="single" w:sz="4" w:space="0" w:color="auto"/>
            </w:tcBorders>
            <w:shd w:val="clear" w:color="000000" w:fill="FEDF81"/>
            <w:noWrap/>
            <w:vAlign w:val="center"/>
            <w:hideMark/>
          </w:tcPr>
          <w:p w14:paraId="35E0A37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0.27</w:t>
            </w:r>
          </w:p>
        </w:tc>
        <w:tc>
          <w:tcPr>
            <w:tcW w:w="2200" w:type="dxa"/>
            <w:tcBorders>
              <w:top w:val="single" w:sz="4" w:space="0" w:color="auto"/>
              <w:left w:val="single" w:sz="4" w:space="0" w:color="auto"/>
              <w:bottom w:val="single" w:sz="4" w:space="0" w:color="auto"/>
              <w:right w:val="single" w:sz="4" w:space="0" w:color="auto"/>
            </w:tcBorders>
            <w:shd w:val="clear" w:color="000000" w:fill="EAE583"/>
            <w:noWrap/>
            <w:vAlign w:val="center"/>
            <w:hideMark/>
          </w:tcPr>
          <w:p w14:paraId="05EAE6C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0.37</w:t>
            </w:r>
          </w:p>
        </w:tc>
      </w:tr>
      <w:tr w:rsidR="001E285D" w:rsidRPr="00EE6F4E" w14:paraId="17AB3E06"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0B3A3985"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2009</w:t>
            </w:r>
          </w:p>
        </w:tc>
        <w:tc>
          <w:tcPr>
            <w:tcW w:w="1960" w:type="dxa"/>
            <w:tcBorders>
              <w:top w:val="single" w:sz="4" w:space="0" w:color="auto"/>
              <w:left w:val="single" w:sz="4" w:space="0" w:color="auto"/>
              <w:bottom w:val="single" w:sz="4" w:space="0" w:color="auto"/>
              <w:right w:val="single" w:sz="4" w:space="0" w:color="auto"/>
            </w:tcBorders>
            <w:shd w:val="clear" w:color="000000" w:fill="FA9373"/>
            <w:noWrap/>
            <w:vAlign w:val="center"/>
            <w:hideMark/>
          </w:tcPr>
          <w:p w14:paraId="53BD6720"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0.10</w:t>
            </w:r>
          </w:p>
        </w:tc>
        <w:tc>
          <w:tcPr>
            <w:tcW w:w="2440" w:type="dxa"/>
            <w:tcBorders>
              <w:top w:val="single" w:sz="4" w:space="0" w:color="auto"/>
              <w:left w:val="single" w:sz="4" w:space="0" w:color="auto"/>
              <w:bottom w:val="single" w:sz="4" w:space="0" w:color="auto"/>
              <w:right w:val="single" w:sz="4" w:space="0" w:color="auto"/>
            </w:tcBorders>
            <w:shd w:val="clear" w:color="000000" w:fill="F7E984"/>
            <w:noWrap/>
            <w:vAlign w:val="center"/>
            <w:hideMark/>
          </w:tcPr>
          <w:p w14:paraId="242A1F3A"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0.32</w:t>
            </w:r>
          </w:p>
        </w:tc>
        <w:tc>
          <w:tcPr>
            <w:tcW w:w="2140" w:type="dxa"/>
            <w:tcBorders>
              <w:top w:val="single" w:sz="4" w:space="0" w:color="auto"/>
              <w:left w:val="single" w:sz="4" w:space="0" w:color="auto"/>
              <w:bottom w:val="single" w:sz="4" w:space="0" w:color="auto"/>
              <w:right w:val="single" w:sz="4" w:space="0" w:color="auto"/>
            </w:tcBorders>
            <w:shd w:val="clear" w:color="000000" w:fill="F98470"/>
            <w:noWrap/>
            <w:vAlign w:val="center"/>
            <w:hideMark/>
          </w:tcPr>
          <w:p w14:paraId="7EFCBD6C"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0.06</w:t>
            </w:r>
          </w:p>
        </w:tc>
        <w:tc>
          <w:tcPr>
            <w:tcW w:w="2200" w:type="dxa"/>
            <w:tcBorders>
              <w:top w:val="single" w:sz="4" w:space="0" w:color="auto"/>
              <w:left w:val="single" w:sz="4" w:space="0" w:color="auto"/>
              <w:bottom w:val="single" w:sz="4" w:space="0" w:color="auto"/>
              <w:right w:val="single" w:sz="4" w:space="0" w:color="auto"/>
            </w:tcBorders>
            <w:shd w:val="clear" w:color="000000" w:fill="FDC97D"/>
            <w:noWrap/>
            <w:vAlign w:val="center"/>
            <w:hideMark/>
          </w:tcPr>
          <w:p w14:paraId="40FBD1C5"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0.22</w:t>
            </w:r>
          </w:p>
        </w:tc>
      </w:tr>
      <w:tr w:rsidR="001E285D" w:rsidRPr="00EE6F4E" w14:paraId="6C19EC35"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1F771C49"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2010</w:t>
            </w:r>
          </w:p>
        </w:tc>
        <w:tc>
          <w:tcPr>
            <w:tcW w:w="1960" w:type="dxa"/>
            <w:tcBorders>
              <w:top w:val="single" w:sz="4" w:space="0" w:color="auto"/>
              <w:left w:val="single" w:sz="4" w:space="0" w:color="auto"/>
              <w:bottom w:val="single" w:sz="4" w:space="0" w:color="auto"/>
              <w:right w:val="single" w:sz="4" w:space="0" w:color="auto"/>
            </w:tcBorders>
            <w:shd w:val="clear" w:color="000000" w:fill="FDEB84"/>
            <w:noWrap/>
            <w:vAlign w:val="center"/>
            <w:hideMark/>
          </w:tcPr>
          <w:p w14:paraId="3784E786"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0.30</w:t>
            </w:r>
          </w:p>
        </w:tc>
        <w:tc>
          <w:tcPr>
            <w:tcW w:w="2440" w:type="dxa"/>
            <w:tcBorders>
              <w:top w:val="single" w:sz="4" w:space="0" w:color="auto"/>
              <w:left w:val="single" w:sz="4" w:space="0" w:color="auto"/>
              <w:bottom w:val="single" w:sz="4" w:space="0" w:color="auto"/>
              <w:right w:val="single" w:sz="4" w:space="0" w:color="auto"/>
            </w:tcBorders>
            <w:shd w:val="clear" w:color="000000" w:fill="FDD780"/>
            <w:noWrap/>
            <w:vAlign w:val="center"/>
            <w:hideMark/>
          </w:tcPr>
          <w:p w14:paraId="00B2D2B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0.25</w:t>
            </w:r>
          </w:p>
        </w:tc>
        <w:tc>
          <w:tcPr>
            <w:tcW w:w="2140" w:type="dxa"/>
            <w:tcBorders>
              <w:top w:val="single" w:sz="4" w:space="0" w:color="auto"/>
              <w:left w:val="single" w:sz="4" w:space="0" w:color="auto"/>
              <w:bottom w:val="single" w:sz="4" w:space="0" w:color="auto"/>
              <w:right w:val="single" w:sz="4" w:space="0" w:color="auto"/>
            </w:tcBorders>
            <w:shd w:val="clear" w:color="000000" w:fill="FA9F75"/>
            <w:noWrap/>
            <w:vAlign w:val="center"/>
            <w:hideMark/>
          </w:tcPr>
          <w:p w14:paraId="674A00C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0.12</w:t>
            </w:r>
          </w:p>
        </w:tc>
        <w:tc>
          <w:tcPr>
            <w:tcW w:w="2200" w:type="dxa"/>
            <w:tcBorders>
              <w:top w:val="single" w:sz="4" w:space="0" w:color="auto"/>
              <w:left w:val="single" w:sz="4" w:space="0" w:color="auto"/>
              <w:bottom w:val="single" w:sz="4" w:space="0" w:color="auto"/>
              <w:right w:val="single" w:sz="4" w:space="0" w:color="auto"/>
            </w:tcBorders>
            <w:shd w:val="clear" w:color="000000" w:fill="FDD680"/>
            <w:noWrap/>
            <w:vAlign w:val="center"/>
            <w:hideMark/>
          </w:tcPr>
          <w:p w14:paraId="1D0BE34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0.25</w:t>
            </w:r>
          </w:p>
        </w:tc>
      </w:tr>
      <w:tr w:rsidR="001E285D" w:rsidRPr="00EE6F4E" w14:paraId="26F6825C"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3987A4EA"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2011</w:t>
            </w:r>
          </w:p>
        </w:tc>
        <w:tc>
          <w:tcPr>
            <w:tcW w:w="1960" w:type="dxa"/>
            <w:tcBorders>
              <w:top w:val="single" w:sz="4" w:space="0" w:color="auto"/>
              <w:left w:val="single" w:sz="4" w:space="0" w:color="auto"/>
              <w:bottom w:val="single" w:sz="4" w:space="0" w:color="auto"/>
              <w:right w:val="single" w:sz="4" w:space="0" w:color="auto"/>
            </w:tcBorders>
            <w:shd w:val="clear" w:color="000000" w:fill="FEE783"/>
            <w:noWrap/>
            <w:vAlign w:val="center"/>
            <w:hideMark/>
          </w:tcPr>
          <w:p w14:paraId="23CE81FF"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0.28</w:t>
            </w:r>
          </w:p>
        </w:tc>
        <w:tc>
          <w:tcPr>
            <w:tcW w:w="2440" w:type="dxa"/>
            <w:tcBorders>
              <w:top w:val="single" w:sz="4" w:space="0" w:color="auto"/>
              <w:left w:val="single" w:sz="4" w:space="0" w:color="auto"/>
              <w:bottom w:val="single" w:sz="4" w:space="0" w:color="auto"/>
              <w:right w:val="single" w:sz="4" w:space="0" w:color="auto"/>
            </w:tcBorders>
            <w:shd w:val="clear" w:color="000000" w:fill="FEE783"/>
            <w:noWrap/>
            <w:vAlign w:val="center"/>
            <w:hideMark/>
          </w:tcPr>
          <w:p w14:paraId="445DD712"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0.28</w:t>
            </w:r>
          </w:p>
        </w:tc>
        <w:tc>
          <w:tcPr>
            <w:tcW w:w="2140" w:type="dxa"/>
            <w:tcBorders>
              <w:top w:val="single" w:sz="4" w:space="0" w:color="auto"/>
              <w:left w:val="single" w:sz="4" w:space="0" w:color="auto"/>
              <w:bottom w:val="single" w:sz="4" w:space="0" w:color="auto"/>
              <w:right w:val="single" w:sz="4" w:space="0" w:color="auto"/>
            </w:tcBorders>
            <w:shd w:val="clear" w:color="000000" w:fill="FDD680"/>
            <w:noWrap/>
            <w:vAlign w:val="center"/>
            <w:hideMark/>
          </w:tcPr>
          <w:p w14:paraId="5F10B9A9"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0.25</w:t>
            </w:r>
          </w:p>
        </w:tc>
        <w:tc>
          <w:tcPr>
            <w:tcW w:w="2200" w:type="dxa"/>
            <w:tcBorders>
              <w:top w:val="single" w:sz="4" w:space="0" w:color="auto"/>
              <w:left w:val="single" w:sz="4" w:space="0" w:color="auto"/>
              <w:bottom w:val="single" w:sz="4" w:space="0" w:color="auto"/>
              <w:right w:val="single" w:sz="4" w:space="0" w:color="auto"/>
            </w:tcBorders>
            <w:shd w:val="clear" w:color="000000" w:fill="FBA776"/>
            <w:noWrap/>
            <w:vAlign w:val="center"/>
            <w:hideMark/>
          </w:tcPr>
          <w:p w14:paraId="1FAF665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0.14</w:t>
            </w:r>
          </w:p>
        </w:tc>
      </w:tr>
      <w:tr w:rsidR="001E285D" w:rsidRPr="00EE6F4E" w14:paraId="498EC662"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59F3B9F8"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2012</w:t>
            </w:r>
          </w:p>
        </w:tc>
        <w:tc>
          <w:tcPr>
            <w:tcW w:w="1960" w:type="dxa"/>
            <w:tcBorders>
              <w:top w:val="single" w:sz="4" w:space="0" w:color="auto"/>
              <w:left w:val="single" w:sz="4" w:space="0" w:color="auto"/>
              <w:bottom w:val="single" w:sz="4" w:space="0" w:color="auto"/>
              <w:right w:val="single" w:sz="4" w:space="0" w:color="auto"/>
            </w:tcBorders>
            <w:shd w:val="clear" w:color="000000" w:fill="FEE883"/>
            <w:noWrap/>
            <w:vAlign w:val="center"/>
            <w:hideMark/>
          </w:tcPr>
          <w:p w14:paraId="763241EC"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0.29</w:t>
            </w:r>
          </w:p>
        </w:tc>
        <w:tc>
          <w:tcPr>
            <w:tcW w:w="2440" w:type="dxa"/>
            <w:tcBorders>
              <w:top w:val="single" w:sz="4" w:space="0" w:color="auto"/>
              <w:left w:val="single" w:sz="4" w:space="0" w:color="auto"/>
              <w:bottom w:val="single" w:sz="4" w:space="0" w:color="auto"/>
              <w:right w:val="single" w:sz="4" w:space="0" w:color="auto"/>
            </w:tcBorders>
            <w:shd w:val="clear" w:color="000000" w:fill="FEE582"/>
            <w:noWrap/>
            <w:vAlign w:val="center"/>
            <w:hideMark/>
          </w:tcPr>
          <w:p w14:paraId="0117EAF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0.28</w:t>
            </w:r>
          </w:p>
        </w:tc>
        <w:tc>
          <w:tcPr>
            <w:tcW w:w="2140" w:type="dxa"/>
            <w:tcBorders>
              <w:top w:val="single" w:sz="4" w:space="0" w:color="auto"/>
              <w:left w:val="single" w:sz="4" w:space="0" w:color="auto"/>
              <w:bottom w:val="single" w:sz="4" w:space="0" w:color="auto"/>
              <w:right w:val="single" w:sz="4" w:space="0" w:color="auto"/>
            </w:tcBorders>
            <w:shd w:val="clear" w:color="000000" w:fill="F97E6F"/>
            <w:noWrap/>
            <w:vAlign w:val="center"/>
            <w:hideMark/>
          </w:tcPr>
          <w:p w14:paraId="0D9E568F"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0.05</w:t>
            </w:r>
          </w:p>
        </w:tc>
        <w:tc>
          <w:tcPr>
            <w:tcW w:w="2200" w:type="dxa"/>
            <w:tcBorders>
              <w:top w:val="single" w:sz="4" w:space="0" w:color="auto"/>
              <w:left w:val="single" w:sz="4" w:space="0" w:color="auto"/>
              <w:bottom w:val="single" w:sz="4" w:space="0" w:color="auto"/>
              <w:right w:val="single" w:sz="4" w:space="0" w:color="auto"/>
            </w:tcBorders>
            <w:shd w:val="clear" w:color="000000" w:fill="FCBE7B"/>
            <w:noWrap/>
            <w:vAlign w:val="center"/>
            <w:hideMark/>
          </w:tcPr>
          <w:p w14:paraId="0E6B6859"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0.19</w:t>
            </w:r>
          </w:p>
        </w:tc>
      </w:tr>
      <w:tr w:rsidR="001E285D" w:rsidRPr="00EE6F4E" w14:paraId="72E23C1C"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055D6799"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lastRenderedPageBreak/>
              <w:t>2013</w:t>
            </w:r>
          </w:p>
        </w:tc>
        <w:tc>
          <w:tcPr>
            <w:tcW w:w="1960" w:type="dxa"/>
            <w:tcBorders>
              <w:top w:val="single" w:sz="4" w:space="0" w:color="auto"/>
              <w:left w:val="single" w:sz="4" w:space="0" w:color="auto"/>
              <w:bottom w:val="single" w:sz="4" w:space="0" w:color="auto"/>
              <w:right w:val="single" w:sz="4" w:space="0" w:color="auto"/>
            </w:tcBorders>
            <w:shd w:val="clear" w:color="000000" w:fill="B3D580"/>
            <w:noWrap/>
            <w:vAlign w:val="center"/>
            <w:hideMark/>
          </w:tcPr>
          <w:p w14:paraId="6B5C0709"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0.56</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4486D5C9"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03C4610E"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2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1FCC122E"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1E285D" w:rsidRPr="00EE6F4E" w14:paraId="6E3DCE77"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6C28F05C"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2014</w:t>
            </w:r>
          </w:p>
        </w:tc>
        <w:tc>
          <w:tcPr>
            <w:tcW w:w="1960" w:type="dxa"/>
            <w:tcBorders>
              <w:top w:val="single" w:sz="4" w:space="0" w:color="auto"/>
              <w:left w:val="single" w:sz="4" w:space="0" w:color="auto"/>
              <w:bottom w:val="single" w:sz="4" w:space="0" w:color="auto"/>
              <w:right w:val="single" w:sz="4" w:space="0" w:color="auto"/>
            </w:tcBorders>
            <w:shd w:val="clear" w:color="000000" w:fill="FBB279"/>
            <w:noWrap/>
            <w:vAlign w:val="center"/>
            <w:hideMark/>
          </w:tcPr>
          <w:p w14:paraId="7999F2BA"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0.17</w:t>
            </w:r>
          </w:p>
        </w:tc>
        <w:tc>
          <w:tcPr>
            <w:tcW w:w="2440" w:type="dxa"/>
            <w:tcBorders>
              <w:top w:val="single" w:sz="4" w:space="0" w:color="auto"/>
              <w:left w:val="single" w:sz="4" w:space="0" w:color="auto"/>
              <w:bottom w:val="single" w:sz="4" w:space="0" w:color="auto"/>
              <w:right w:val="single" w:sz="4" w:space="0" w:color="auto"/>
            </w:tcBorders>
            <w:shd w:val="clear" w:color="000000" w:fill="FDC87D"/>
            <w:noWrap/>
            <w:vAlign w:val="center"/>
            <w:hideMark/>
          </w:tcPr>
          <w:p w14:paraId="2201CCC6"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0.22</w:t>
            </w:r>
          </w:p>
        </w:tc>
        <w:tc>
          <w:tcPr>
            <w:tcW w:w="2140" w:type="dxa"/>
            <w:tcBorders>
              <w:top w:val="single" w:sz="4" w:space="0" w:color="auto"/>
              <w:left w:val="single" w:sz="4" w:space="0" w:color="auto"/>
              <w:bottom w:val="single" w:sz="4" w:space="0" w:color="auto"/>
              <w:right w:val="single" w:sz="4" w:space="0" w:color="auto"/>
            </w:tcBorders>
            <w:shd w:val="clear" w:color="000000" w:fill="FA9673"/>
            <w:noWrap/>
            <w:vAlign w:val="center"/>
            <w:hideMark/>
          </w:tcPr>
          <w:p w14:paraId="3A197D8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0.10</w:t>
            </w:r>
          </w:p>
        </w:tc>
        <w:tc>
          <w:tcPr>
            <w:tcW w:w="2200" w:type="dxa"/>
            <w:tcBorders>
              <w:top w:val="single" w:sz="4" w:space="0" w:color="auto"/>
              <w:left w:val="single" w:sz="4" w:space="0" w:color="auto"/>
              <w:bottom w:val="single" w:sz="4" w:space="0" w:color="auto"/>
              <w:right w:val="single" w:sz="4" w:space="0" w:color="auto"/>
            </w:tcBorders>
            <w:shd w:val="clear" w:color="000000" w:fill="FDCA7D"/>
            <w:noWrap/>
            <w:vAlign w:val="center"/>
            <w:hideMark/>
          </w:tcPr>
          <w:p w14:paraId="7EF092D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0.22</w:t>
            </w:r>
          </w:p>
        </w:tc>
      </w:tr>
      <w:tr w:rsidR="001E285D" w:rsidRPr="00EE6F4E" w14:paraId="708C3D63"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5426AA62"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2015</w:t>
            </w:r>
          </w:p>
        </w:tc>
        <w:tc>
          <w:tcPr>
            <w:tcW w:w="1960" w:type="dxa"/>
            <w:tcBorders>
              <w:top w:val="single" w:sz="4" w:space="0" w:color="auto"/>
              <w:left w:val="single" w:sz="4" w:space="0" w:color="auto"/>
              <w:bottom w:val="single" w:sz="4" w:space="0" w:color="auto"/>
              <w:right w:val="single" w:sz="4" w:space="0" w:color="auto"/>
            </w:tcBorders>
            <w:shd w:val="clear" w:color="000000" w:fill="BCD881"/>
            <w:noWrap/>
            <w:vAlign w:val="center"/>
            <w:hideMark/>
          </w:tcPr>
          <w:p w14:paraId="6A6354E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0.53</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FBC2F6D"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DCE182"/>
            <w:noWrap/>
            <w:vAlign w:val="center"/>
            <w:hideMark/>
          </w:tcPr>
          <w:p w14:paraId="717453D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0.42</w:t>
            </w:r>
          </w:p>
        </w:tc>
        <w:tc>
          <w:tcPr>
            <w:tcW w:w="22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16C0766F"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1E285D" w:rsidRPr="00EE6F4E" w14:paraId="72E4C6F6"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4F1C0097"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2016</w:t>
            </w:r>
          </w:p>
        </w:tc>
        <w:tc>
          <w:tcPr>
            <w:tcW w:w="1960" w:type="dxa"/>
            <w:tcBorders>
              <w:top w:val="single" w:sz="4" w:space="0" w:color="auto"/>
              <w:left w:val="single" w:sz="4" w:space="0" w:color="auto"/>
              <w:bottom w:val="single" w:sz="4" w:space="0" w:color="auto"/>
              <w:right w:val="single" w:sz="4" w:space="0" w:color="auto"/>
            </w:tcBorders>
            <w:shd w:val="clear" w:color="000000" w:fill="F8776D"/>
            <w:noWrap/>
            <w:vAlign w:val="center"/>
            <w:hideMark/>
          </w:tcPr>
          <w:p w14:paraId="004F83FD"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0.03</w:t>
            </w:r>
          </w:p>
        </w:tc>
        <w:tc>
          <w:tcPr>
            <w:tcW w:w="2440" w:type="dxa"/>
            <w:tcBorders>
              <w:top w:val="single" w:sz="4" w:space="0" w:color="auto"/>
              <w:left w:val="single" w:sz="4" w:space="0" w:color="auto"/>
              <w:bottom w:val="single" w:sz="4" w:space="0" w:color="auto"/>
              <w:right w:val="single" w:sz="4" w:space="0" w:color="auto"/>
            </w:tcBorders>
            <w:shd w:val="clear" w:color="000000" w:fill="CADC81"/>
            <w:noWrap/>
            <w:vAlign w:val="center"/>
            <w:hideMark/>
          </w:tcPr>
          <w:p w14:paraId="0587404E"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0.48</w:t>
            </w:r>
          </w:p>
        </w:tc>
        <w:tc>
          <w:tcPr>
            <w:tcW w:w="2140" w:type="dxa"/>
            <w:tcBorders>
              <w:top w:val="single" w:sz="4" w:space="0" w:color="auto"/>
              <w:left w:val="single" w:sz="4" w:space="0" w:color="auto"/>
              <w:bottom w:val="single" w:sz="4" w:space="0" w:color="auto"/>
              <w:right w:val="single" w:sz="4" w:space="0" w:color="auto"/>
            </w:tcBorders>
            <w:shd w:val="clear" w:color="000000" w:fill="EEE683"/>
            <w:noWrap/>
            <w:vAlign w:val="center"/>
            <w:hideMark/>
          </w:tcPr>
          <w:p w14:paraId="30BA971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0.35</w:t>
            </w:r>
          </w:p>
        </w:tc>
        <w:tc>
          <w:tcPr>
            <w:tcW w:w="2200" w:type="dxa"/>
            <w:tcBorders>
              <w:top w:val="single" w:sz="4" w:space="0" w:color="auto"/>
              <w:left w:val="single" w:sz="4" w:space="0" w:color="auto"/>
              <w:bottom w:val="single" w:sz="4" w:space="0" w:color="auto"/>
              <w:right w:val="single" w:sz="4" w:space="0" w:color="auto"/>
            </w:tcBorders>
            <w:shd w:val="clear" w:color="000000" w:fill="F97E6F"/>
            <w:noWrap/>
            <w:vAlign w:val="center"/>
            <w:hideMark/>
          </w:tcPr>
          <w:p w14:paraId="01429899"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0.05</w:t>
            </w:r>
          </w:p>
        </w:tc>
      </w:tr>
      <w:tr w:rsidR="001E285D" w:rsidRPr="00EE6F4E" w14:paraId="6AB148B3"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4DB1B55B"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2017</w:t>
            </w:r>
          </w:p>
        </w:tc>
        <w:tc>
          <w:tcPr>
            <w:tcW w:w="1960" w:type="dxa"/>
            <w:tcBorders>
              <w:top w:val="single" w:sz="4" w:space="0" w:color="auto"/>
              <w:left w:val="single" w:sz="4" w:space="0" w:color="auto"/>
              <w:bottom w:val="single" w:sz="4" w:space="0" w:color="auto"/>
              <w:right w:val="single" w:sz="4" w:space="0" w:color="auto"/>
            </w:tcBorders>
            <w:shd w:val="clear" w:color="000000" w:fill="9CCF7F"/>
            <w:noWrap/>
            <w:vAlign w:val="center"/>
            <w:hideMark/>
          </w:tcPr>
          <w:p w14:paraId="3587338F"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0.64</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1ED1C413"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9FD07F"/>
            <w:noWrap/>
            <w:vAlign w:val="center"/>
            <w:hideMark/>
          </w:tcPr>
          <w:p w14:paraId="705BDF8C"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0.63</w:t>
            </w:r>
          </w:p>
        </w:tc>
        <w:tc>
          <w:tcPr>
            <w:tcW w:w="22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0F9BE51D"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1E285D" w:rsidRPr="00EE6F4E" w14:paraId="2FE885C9"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E3ED997"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2018</w:t>
            </w:r>
          </w:p>
        </w:tc>
        <w:tc>
          <w:tcPr>
            <w:tcW w:w="1960" w:type="dxa"/>
            <w:tcBorders>
              <w:top w:val="single" w:sz="4" w:space="0" w:color="auto"/>
              <w:left w:val="single" w:sz="4" w:space="0" w:color="auto"/>
              <w:bottom w:val="single" w:sz="4" w:space="0" w:color="auto"/>
              <w:right w:val="single" w:sz="4" w:space="0" w:color="auto"/>
            </w:tcBorders>
            <w:shd w:val="clear" w:color="000000" w:fill="F6E984"/>
            <w:noWrap/>
            <w:vAlign w:val="center"/>
            <w:hideMark/>
          </w:tcPr>
          <w:p w14:paraId="3C2E322C"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0.32</w:t>
            </w:r>
          </w:p>
        </w:tc>
        <w:tc>
          <w:tcPr>
            <w:tcW w:w="2440" w:type="dxa"/>
            <w:tcBorders>
              <w:top w:val="single" w:sz="4" w:space="0" w:color="auto"/>
              <w:left w:val="single" w:sz="4" w:space="0" w:color="auto"/>
              <w:bottom w:val="single" w:sz="4" w:space="0" w:color="auto"/>
              <w:right w:val="single" w:sz="4" w:space="0" w:color="auto"/>
            </w:tcBorders>
            <w:shd w:val="clear" w:color="000000" w:fill="FCC07B"/>
            <w:noWrap/>
            <w:vAlign w:val="center"/>
            <w:hideMark/>
          </w:tcPr>
          <w:p w14:paraId="5347A44A"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0.20</w:t>
            </w:r>
          </w:p>
        </w:tc>
        <w:tc>
          <w:tcPr>
            <w:tcW w:w="2140" w:type="dxa"/>
            <w:tcBorders>
              <w:top w:val="single" w:sz="4" w:space="0" w:color="auto"/>
              <w:left w:val="single" w:sz="4" w:space="0" w:color="auto"/>
              <w:bottom w:val="single" w:sz="4" w:space="0" w:color="auto"/>
              <w:right w:val="single" w:sz="4" w:space="0" w:color="auto"/>
            </w:tcBorders>
            <w:shd w:val="clear" w:color="000000" w:fill="FBAD78"/>
            <w:noWrap/>
            <w:vAlign w:val="center"/>
            <w:hideMark/>
          </w:tcPr>
          <w:p w14:paraId="7E7690B5"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0.15</w:t>
            </w:r>
          </w:p>
        </w:tc>
        <w:tc>
          <w:tcPr>
            <w:tcW w:w="2200" w:type="dxa"/>
            <w:tcBorders>
              <w:top w:val="single" w:sz="4" w:space="0" w:color="auto"/>
              <w:left w:val="single" w:sz="4" w:space="0" w:color="auto"/>
              <w:bottom w:val="single" w:sz="4" w:space="0" w:color="auto"/>
              <w:right w:val="single" w:sz="4" w:space="0" w:color="auto"/>
            </w:tcBorders>
            <w:shd w:val="clear" w:color="000000" w:fill="AED480"/>
            <w:noWrap/>
            <w:vAlign w:val="center"/>
            <w:hideMark/>
          </w:tcPr>
          <w:p w14:paraId="259A6A30"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0.58</w:t>
            </w:r>
          </w:p>
        </w:tc>
      </w:tr>
      <w:tr w:rsidR="001E285D" w:rsidRPr="00EE6F4E" w14:paraId="321D549B"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06613B67"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2019</w:t>
            </w:r>
          </w:p>
        </w:tc>
        <w:tc>
          <w:tcPr>
            <w:tcW w:w="1960" w:type="dxa"/>
            <w:tcBorders>
              <w:top w:val="single" w:sz="4" w:space="0" w:color="auto"/>
              <w:left w:val="single" w:sz="4" w:space="0" w:color="auto"/>
              <w:bottom w:val="single" w:sz="4" w:space="0" w:color="auto"/>
              <w:right w:val="single" w:sz="4" w:space="0" w:color="auto"/>
            </w:tcBorders>
            <w:shd w:val="clear" w:color="000000" w:fill="93CC7E"/>
            <w:noWrap/>
            <w:vAlign w:val="center"/>
            <w:hideMark/>
          </w:tcPr>
          <w:p w14:paraId="5B30878D"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0.67</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6FCD21B5"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F8766D"/>
            <w:noWrap/>
            <w:vAlign w:val="center"/>
            <w:hideMark/>
          </w:tcPr>
          <w:p w14:paraId="2B9315C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0.03</w:t>
            </w:r>
          </w:p>
        </w:tc>
        <w:tc>
          <w:tcPr>
            <w:tcW w:w="22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44B6C12A"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1E285D" w:rsidRPr="00EE6F4E" w14:paraId="48ABA831"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A438AD0"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2020</w:t>
            </w:r>
          </w:p>
        </w:tc>
        <w:tc>
          <w:tcPr>
            <w:tcW w:w="1960" w:type="dxa"/>
            <w:tcBorders>
              <w:top w:val="single" w:sz="4" w:space="0" w:color="auto"/>
              <w:left w:val="single" w:sz="4" w:space="0" w:color="auto"/>
              <w:bottom w:val="single" w:sz="4" w:space="0" w:color="auto"/>
              <w:right w:val="single" w:sz="4" w:space="0" w:color="auto"/>
            </w:tcBorders>
            <w:shd w:val="clear" w:color="000000" w:fill="EDE683"/>
            <w:noWrap/>
            <w:vAlign w:val="center"/>
            <w:hideMark/>
          </w:tcPr>
          <w:p w14:paraId="7C31127E"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0.36</w:t>
            </w:r>
          </w:p>
        </w:tc>
        <w:tc>
          <w:tcPr>
            <w:tcW w:w="2440" w:type="dxa"/>
            <w:tcBorders>
              <w:top w:val="single" w:sz="4" w:space="0" w:color="auto"/>
              <w:left w:val="single" w:sz="4" w:space="0" w:color="auto"/>
              <w:bottom w:val="single" w:sz="4" w:space="0" w:color="auto"/>
              <w:right w:val="single" w:sz="4" w:space="0" w:color="auto"/>
            </w:tcBorders>
            <w:shd w:val="clear" w:color="000000" w:fill="CADC81"/>
            <w:noWrap/>
            <w:vAlign w:val="center"/>
            <w:hideMark/>
          </w:tcPr>
          <w:p w14:paraId="019F702D"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0.48</w:t>
            </w:r>
          </w:p>
        </w:tc>
        <w:tc>
          <w:tcPr>
            <w:tcW w:w="2140" w:type="dxa"/>
            <w:tcBorders>
              <w:top w:val="single" w:sz="4" w:space="0" w:color="auto"/>
              <w:left w:val="single" w:sz="4" w:space="0" w:color="auto"/>
              <w:bottom w:val="single" w:sz="4" w:space="0" w:color="auto"/>
              <w:right w:val="single" w:sz="4" w:space="0" w:color="auto"/>
            </w:tcBorders>
            <w:shd w:val="clear" w:color="000000" w:fill="FAEA84"/>
            <w:noWrap/>
            <w:vAlign w:val="center"/>
            <w:hideMark/>
          </w:tcPr>
          <w:p w14:paraId="5C9F2053"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0.31</w:t>
            </w:r>
          </w:p>
        </w:tc>
        <w:tc>
          <w:tcPr>
            <w:tcW w:w="2200" w:type="dxa"/>
            <w:tcBorders>
              <w:top w:val="single" w:sz="4" w:space="0" w:color="auto"/>
              <w:left w:val="single" w:sz="4" w:space="0" w:color="auto"/>
              <w:bottom w:val="single" w:sz="4" w:space="0" w:color="auto"/>
              <w:right w:val="single" w:sz="4" w:space="0" w:color="auto"/>
            </w:tcBorders>
            <w:shd w:val="clear" w:color="000000" w:fill="B1D580"/>
            <w:noWrap/>
            <w:vAlign w:val="center"/>
            <w:hideMark/>
          </w:tcPr>
          <w:p w14:paraId="5FA7EFE9"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0.57</w:t>
            </w:r>
          </w:p>
        </w:tc>
      </w:tr>
      <w:tr w:rsidR="001E285D" w:rsidRPr="00EE6F4E" w14:paraId="6A28F5CC"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7C6044E0"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2021</w:t>
            </w:r>
          </w:p>
        </w:tc>
        <w:tc>
          <w:tcPr>
            <w:tcW w:w="1960" w:type="dxa"/>
            <w:tcBorders>
              <w:top w:val="single" w:sz="4" w:space="0" w:color="auto"/>
              <w:left w:val="single" w:sz="4" w:space="0" w:color="auto"/>
              <w:bottom w:val="single" w:sz="4" w:space="0" w:color="auto"/>
              <w:right w:val="single" w:sz="4" w:space="0" w:color="auto"/>
            </w:tcBorders>
            <w:shd w:val="clear" w:color="000000" w:fill="78C57D"/>
            <w:noWrap/>
            <w:vAlign w:val="center"/>
            <w:hideMark/>
          </w:tcPr>
          <w:p w14:paraId="143F46D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0.77</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5A8DEE3D"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C6DB81"/>
            <w:noWrap/>
            <w:vAlign w:val="center"/>
            <w:hideMark/>
          </w:tcPr>
          <w:p w14:paraId="11F97A39"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0.49</w:t>
            </w:r>
          </w:p>
        </w:tc>
        <w:tc>
          <w:tcPr>
            <w:tcW w:w="2200" w:type="dxa"/>
            <w:tcBorders>
              <w:top w:val="single" w:sz="4" w:space="0" w:color="auto"/>
              <w:left w:val="single" w:sz="4" w:space="0" w:color="auto"/>
              <w:bottom w:val="single" w:sz="4" w:space="0" w:color="auto"/>
              <w:right w:val="single" w:sz="4" w:space="0" w:color="auto"/>
            </w:tcBorders>
            <w:shd w:val="clear" w:color="000000" w:fill="F86C6B"/>
            <w:noWrap/>
            <w:vAlign w:val="center"/>
            <w:hideMark/>
          </w:tcPr>
          <w:p w14:paraId="2AD28AF0"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0.01</w:t>
            </w:r>
          </w:p>
        </w:tc>
      </w:tr>
      <w:tr w:rsidR="001E285D" w:rsidRPr="00EE6F4E" w14:paraId="6FEB39A4"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406A806E"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2022</w:t>
            </w:r>
          </w:p>
        </w:tc>
        <w:tc>
          <w:tcPr>
            <w:tcW w:w="1960" w:type="dxa"/>
            <w:tcBorders>
              <w:top w:val="single" w:sz="4" w:space="0" w:color="auto"/>
              <w:left w:val="single" w:sz="4" w:space="0" w:color="auto"/>
              <w:bottom w:val="single" w:sz="4" w:space="0" w:color="auto"/>
              <w:right w:val="single" w:sz="4" w:space="0" w:color="auto"/>
            </w:tcBorders>
            <w:shd w:val="clear" w:color="000000" w:fill="B7D780"/>
            <w:noWrap/>
            <w:vAlign w:val="center"/>
            <w:hideMark/>
          </w:tcPr>
          <w:p w14:paraId="50CDD653"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0.55</w:t>
            </w:r>
          </w:p>
        </w:tc>
        <w:tc>
          <w:tcPr>
            <w:tcW w:w="2440" w:type="dxa"/>
            <w:tcBorders>
              <w:top w:val="single" w:sz="4" w:space="0" w:color="auto"/>
              <w:left w:val="single" w:sz="4" w:space="0" w:color="auto"/>
              <w:bottom w:val="single" w:sz="4" w:space="0" w:color="auto"/>
              <w:right w:val="single" w:sz="4" w:space="0" w:color="auto"/>
            </w:tcBorders>
            <w:shd w:val="clear" w:color="000000" w:fill="D2DE82"/>
            <w:noWrap/>
            <w:vAlign w:val="center"/>
            <w:hideMark/>
          </w:tcPr>
          <w:p w14:paraId="03A40A3E"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0.45</w:t>
            </w:r>
          </w:p>
        </w:tc>
        <w:tc>
          <w:tcPr>
            <w:tcW w:w="2140" w:type="dxa"/>
            <w:tcBorders>
              <w:top w:val="single" w:sz="4" w:space="0" w:color="auto"/>
              <w:left w:val="single" w:sz="4" w:space="0" w:color="auto"/>
              <w:bottom w:val="single" w:sz="4" w:space="0" w:color="auto"/>
              <w:right w:val="single" w:sz="4" w:space="0" w:color="auto"/>
            </w:tcBorders>
            <w:shd w:val="clear" w:color="000000" w:fill="FA9C74"/>
            <w:noWrap/>
            <w:vAlign w:val="center"/>
            <w:hideMark/>
          </w:tcPr>
          <w:p w14:paraId="4729A91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0.12</w:t>
            </w:r>
          </w:p>
        </w:tc>
        <w:tc>
          <w:tcPr>
            <w:tcW w:w="2200" w:type="dxa"/>
            <w:tcBorders>
              <w:top w:val="single" w:sz="4" w:space="0" w:color="auto"/>
              <w:left w:val="single" w:sz="4" w:space="0" w:color="auto"/>
              <w:bottom w:val="single" w:sz="4" w:space="0" w:color="auto"/>
              <w:right w:val="single" w:sz="4" w:space="0" w:color="auto"/>
            </w:tcBorders>
            <w:shd w:val="clear" w:color="000000" w:fill="F0E784"/>
            <w:noWrap/>
            <w:vAlign w:val="center"/>
            <w:hideMark/>
          </w:tcPr>
          <w:p w14:paraId="2447C207"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0.35</w:t>
            </w:r>
          </w:p>
        </w:tc>
      </w:tr>
      <w:tr w:rsidR="001E285D" w:rsidRPr="00EE6F4E" w14:paraId="78C1D954"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E0F4423"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2023</w:t>
            </w:r>
          </w:p>
        </w:tc>
        <w:tc>
          <w:tcPr>
            <w:tcW w:w="1960" w:type="dxa"/>
            <w:tcBorders>
              <w:top w:val="single" w:sz="4" w:space="0" w:color="auto"/>
              <w:left w:val="single" w:sz="4" w:space="0" w:color="auto"/>
              <w:bottom w:val="single" w:sz="4" w:space="0" w:color="auto"/>
              <w:right w:val="single" w:sz="4" w:space="0" w:color="auto"/>
            </w:tcBorders>
            <w:shd w:val="clear" w:color="000000" w:fill="96CD7E"/>
            <w:noWrap/>
            <w:vAlign w:val="center"/>
            <w:hideMark/>
          </w:tcPr>
          <w:p w14:paraId="1AB5BA6C"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0.66</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48BD948E"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E5E483"/>
            <w:noWrap/>
            <w:vAlign w:val="center"/>
            <w:hideMark/>
          </w:tcPr>
          <w:p w14:paraId="2BF8E4D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0.38</w:t>
            </w:r>
          </w:p>
        </w:tc>
        <w:tc>
          <w:tcPr>
            <w:tcW w:w="22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066F594F"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bl>
    <w:p w14:paraId="0189C09A" w14:textId="72653DB0" w:rsidR="001E285D" w:rsidRDefault="001E285D" w:rsidP="001E285D">
      <w:pPr>
        <w:spacing w:line="360" w:lineRule="auto"/>
        <w:ind w:firstLine="720"/>
        <w:jc w:val="center"/>
        <w:rPr>
          <w:rFonts w:ascii="Times New Roman" w:hAnsi="Times New Roman" w:cs="Times New Roman"/>
          <w:lang w:val="bg-BG"/>
        </w:rPr>
      </w:pPr>
      <w:r w:rsidRPr="001E285D">
        <w:rPr>
          <w:rFonts w:ascii="Times New Roman" w:hAnsi="Times New Roman" w:cs="Times New Roman"/>
        </w:rPr>
        <w:t>Source: Own calculations</w:t>
      </w:r>
    </w:p>
    <w:p w14:paraId="21BCC6C6" w14:textId="43CA5C6C" w:rsidR="001E285D" w:rsidRDefault="001E285D" w:rsidP="001E285D">
      <w:pPr>
        <w:spacing w:line="360" w:lineRule="auto"/>
        <w:ind w:firstLine="720"/>
        <w:jc w:val="both"/>
        <w:rPr>
          <w:rFonts w:ascii="Times New Roman" w:hAnsi="Times New Roman" w:cs="Times New Roman"/>
          <w:lang w:val="bg-BG"/>
        </w:rPr>
      </w:pPr>
      <w:r w:rsidRPr="001E285D">
        <w:rPr>
          <w:rFonts w:ascii="Times New Roman" w:hAnsi="Times New Roman" w:cs="Times New Roman"/>
        </w:rPr>
        <w:t>Conversely, holdings with mixed specialization and grazing livestock show a better balance between economic and environmental indicators. The dynamics of economic efficiency by production specialization, measured through the RCA economic coefficient for the period 2007–2023, show a steady growth trend across all types, but at different rates. The most rapid growth is observed in holdings with permanent crops and horticulture, which is due to the higher value-added of the output and better access to markets. The values of the economic efficiency indicators according to production specialization are systematized in the following table:</w:t>
      </w:r>
    </w:p>
    <w:p w14:paraId="110097B4" w14:textId="2774BAE4" w:rsidR="001E285D" w:rsidRDefault="001E285D" w:rsidP="001E285D">
      <w:pPr>
        <w:spacing w:line="360" w:lineRule="auto"/>
        <w:ind w:firstLine="720"/>
        <w:jc w:val="center"/>
        <w:rPr>
          <w:rFonts w:ascii="Times New Roman" w:hAnsi="Times New Roman" w:cs="Times New Roman"/>
          <w:lang w:val="bg-BG"/>
        </w:rPr>
      </w:pPr>
      <w:r w:rsidRPr="001E285D">
        <w:rPr>
          <w:rFonts w:ascii="Times New Roman" w:hAnsi="Times New Roman" w:cs="Times New Roman"/>
        </w:rPr>
        <w:t>Table 23: Values of economic efficiency indicators for agricultural holdings according to economic size (2007–2023)</w:t>
      </w:r>
    </w:p>
    <w:tbl>
      <w:tblPr>
        <w:tblW w:w="10600" w:type="dxa"/>
        <w:jc w:val="center"/>
        <w:tblLook w:val="04A0" w:firstRow="1" w:lastRow="0" w:firstColumn="1" w:lastColumn="0" w:noHBand="0" w:noVBand="1"/>
      </w:tblPr>
      <w:tblGrid>
        <w:gridCol w:w="1220"/>
        <w:gridCol w:w="2240"/>
        <w:gridCol w:w="2300"/>
        <w:gridCol w:w="2740"/>
        <w:gridCol w:w="2100"/>
      </w:tblGrid>
      <w:tr w:rsidR="001E285D" w:rsidRPr="00EE6F4E" w14:paraId="11EF2A61" w14:textId="77777777" w:rsidTr="00BA1CD0">
        <w:trPr>
          <w:trHeight w:val="510"/>
          <w:jc w:val="center"/>
        </w:trPr>
        <w:tc>
          <w:tcPr>
            <w:tcW w:w="1220" w:type="dxa"/>
            <w:tcBorders>
              <w:top w:val="single" w:sz="4" w:space="0" w:color="auto"/>
              <w:left w:val="single" w:sz="4" w:space="0" w:color="auto"/>
              <w:bottom w:val="single" w:sz="4" w:space="0" w:color="auto"/>
              <w:right w:val="single" w:sz="4" w:space="0" w:color="auto"/>
            </w:tcBorders>
            <w:vAlign w:val="center"/>
            <w:hideMark/>
          </w:tcPr>
          <w:p w14:paraId="66B4A738" w14:textId="5C3F692A" w:rsidR="001E285D" w:rsidRPr="001E285D" w:rsidRDefault="001E285D" w:rsidP="00BA1CD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Year</w:t>
            </w:r>
          </w:p>
        </w:tc>
        <w:tc>
          <w:tcPr>
            <w:tcW w:w="2240" w:type="dxa"/>
            <w:tcBorders>
              <w:top w:val="single" w:sz="4" w:space="0" w:color="auto"/>
              <w:left w:val="nil"/>
              <w:bottom w:val="single" w:sz="4" w:space="0" w:color="auto"/>
              <w:right w:val="single" w:sz="4" w:space="0" w:color="auto"/>
            </w:tcBorders>
            <w:shd w:val="clear" w:color="000000" w:fill="FFFFFF"/>
            <w:vAlign w:val="center"/>
            <w:hideMark/>
          </w:tcPr>
          <w:p w14:paraId="3B7FFCBD" w14:textId="1497C6EB"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1E285D">
              <w:rPr>
                <w:rFonts w:ascii="Times New Roman" w:eastAsia="Times New Roman" w:hAnsi="Times New Roman" w:cs="Times New Roman"/>
                <w:b/>
                <w:bCs/>
                <w:color w:val="000000"/>
              </w:rPr>
              <w:t>Dairy farming</w:t>
            </w:r>
          </w:p>
        </w:tc>
        <w:tc>
          <w:tcPr>
            <w:tcW w:w="2300" w:type="dxa"/>
            <w:tcBorders>
              <w:top w:val="single" w:sz="4" w:space="0" w:color="auto"/>
              <w:left w:val="nil"/>
              <w:bottom w:val="single" w:sz="4" w:space="0" w:color="auto"/>
              <w:right w:val="single" w:sz="4" w:space="0" w:color="auto"/>
            </w:tcBorders>
            <w:shd w:val="clear" w:color="000000" w:fill="FFFFFF"/>
            <w:vAlign w:val="center"/>
            <w:hideMark/>
          </w:tcPr>
          <w:p w14:paraId="380FBFFE" w14:textId="65E241A8"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1E285D">
              <w:rPr>
                <w:rFonts w:ascii="Times New Roman" w:eastAsia="Times New Roman" w:hAnsi="Times New Roman" w:cs="Times New Roman"/>
                <w:b/>
                <w:bCs/>
                <w:color w:val="000000"/>
              </w:rPr>
              <w:t>Other grazing livestock</w:t>
            </w:r>
          </w:p>
        </w:tc>
        <w:tc>
          <w:tcPr>
            <w:tcW w:w="2740" w:type="dxa"/>
            <w:tcBorders>
              <w:top w:val="single" w:sz="4" w:space="0" w:color="auto"/>
              <w:left w:val="nil"/>
              <w:bottom w:val="single" w:sz="4" w:space="0" w:color="auto"/>
              <w:right w:val="single" w:sz="4" w:space="0" w:color="auto"/>
            </w:tcBorders>
            <w:shd w:val="clear" w:color="000000" w:fill="FFFFFF"/>
            <w:vAlign w:val="center"/>
            <w:hideMark/>
          </w:tcPr>
          <w:p w14:paraId="4F454B3D" w14:textId="53CB84E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1E285D">
              <w:rPr>
                <w:rFonts w:ascii="Times New Roman" w:eastAsia="Times New Roman" w:hAnsi="Times New Roman" w:cs="Times New Roman"/>
                <w:b/>
                <w:bCs/>
                <w:color w:val="000000"/>
              </w:rPr>
              <w:t>Intensive livestock</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14:paraId="30644671" w14:textId="5D5EF3D3"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1E285D">
              <w:rPr>
                <w:rFonts w:ascii="Times New Roman" w:eastAsia="Times New Roman" w:hAnsi="Times New Roman" w:cs="Times New Roman"/>
                <w:b/>
                <w:bCs/>
                <w:color w:val="000000"/>
              </w:rPr>
              <w:t>Mixed farming</w:t>
            </w:r>
          </w:p>
        </w:tc>
      </w:tr>
      <w:tr w:rsidR="001E285D" w:rsidRPr="00EE6F4E" w14:paraId="20F9B49C"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1F39901A"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2007</w:t>
            </w:r>
          </w:p>
        </w:tc>
        <w:tc>
          <w:tcPr>
            <w:tcW w:w="2240" w:type="dxa"/>
            <w:tcBorders>
              <w:top w:val="single" w:sz="4" w:space="0" w:color="auto"/>
              <w:left w:val="single" w:sz="4" w:space="0" w:color="auto"/>
              <w:bottom w:val="single" w:sz="4" w:space="0" w:color="auto"/>
              <w:right w:val="single" w:sz="4" w:space="0" w:color="auto"/>
            </w:tcBorders>
            <w:shd w:val="clear" w:color="000000" w:fill="D2DE82"/>
            <w:noWrap/>
            <w:vAlign w:val="center"/>
            <w:hideMark/>
          </w:tcPr>
          <w:p w14:paraId="7E59E625"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0.45</w:t>
            </w:r>
          </w:p>
        </w:tc>
        <w:tc>
          <w:tcPr>
            <w:tcW w:w="2300" w:type="dxa"/>
            <w:tcBorders>
              <w:top w:val="single" w:sz="4" w:space="0" w:color="auto"/>
              <w:left w:val="single" w:sz="4" w:space="0" w:color="auto"/>
              <w:bottom w:val="single" w:sz="4" w:space="0" w:color="auto"/>
              <w:right w:val="single" w:sz="4" w:space="0" w:color="auto"/>
            </w:tcBorders>
            <w:shd w:val="clear" w:color="000000" w:fill="DAE182"/>
            <w:noWrap/>
            <w:vAlign w:val="center"/>
            <w:hideMark/>
          </w:tcPr>
          <w:p w14:paraId="59DF1C3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0.42</w:t>
            </w:r>
          </w:p>
        </w:tc>
        <w:tc>
          <w:tcPr>
            <w:tcW w:w="2740" w:type="dxa"/>
            <w:tcBorders>
              <w:top w:val="single" w:sz="4" w:space="0" w:color="auto"/>
              <w:left w:val="single" w:sz="4" w:space="0" w:color="auto"/>
              <w:bottom w:val="single" w:sz="4" w:space="0" w:color="auto"/>
              <w:right w:val="single" w:sz="4" w:space="0" w:color="auto"/>
            </w:tcBorders>
            <w:shd w:val="clear" w:color="000000" w:fill="E8E583"/>
            <w:noWrap/>
            <w:vAlign w:val="center"/>
            <w:hideMark/>
          </w:tcPr>
          <w:p w14:paraId="5F495C4A"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0.37</w:t>
            </w:r>
          </w:p>
        </w:tc>
        <w:tc>
          <w:tcPr>
            <w:tcW w:w="2100" w:type="dxa"/>
            <w:tcBorders>
              <w:top w:val="single" w:sz="4" w:space="0" w:color="auto"/>
              <w:left w:val="single" w:sz="4" w:space="0" w:color="auto"/>
              <w:bottom w:val="single" w:sz="4" w:space="0" w:color="auto"/>
              <w:right w:val="single" w:sz="4" w:space="0" w:color="auto"/>
            </w:tcBorders>
            <w:shd w:val="clear" w:color="000000" w:fill="EEE683"/>
            <w:noWrap/>
            <w:vAlign w:val="center"/>
            <w:hideMark/>
          </w:tcPr>
          <w:p w14:paraId="1C667095"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0.35</w:t>
            </w:r>
          </w:p>
        </w:tc>
      </w:tr>
      <w:tr w:rsidR="001E285D" w:rsidRPr="00EE6F4E" w14:paraId="75ACE033"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6928C28"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2008</w:t>
            </w:r>
          </w:p>
        </w:tc>
        <w:tc>
          <w:tcPr>
            <w:tcW w:w="2240" w:type="dxa"/>
            <w:tcBorders>
              <w:top w:val="single" w:sz="4" w:space="0" w:color="auto"/>
              <w:left w:val="single" w:sz="4" w:space="0" w:color="auto"/>
              <w:bottom w:val="single" w:sz="4" w:space="0" w:color="auto"/>
              <w:right w:val="single" w:sz="4" w:space="0" w:color="auto"/>
            </w:tcBorders>
            <w:shd w:val="clear" w:color="000000" w:fill="E6E483"/>
            <w:noWrap/>
            <w:vAlign w:val="center"/>
            <w:hideMark/>
          </w:tcPr>
          <w:p w14:paraId="5F1798F2"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0.38</w:t>
            </w:r>
          </w:p>
        </w:tc>
        <w:tc>
          <w:tcPr>
            <w:tcW w:w="2300" w:type="dxa"/>
            <w:tcBorders>
              <w:top w:val="single" w:sz="4" w:space="0" w:color="auto"/>
              <w:left w:val="single" w:sz="4" w:space="0" w:color="auto"/>
              <w:bottom w:val="single" w:sz="4" w:space="0" w:color="auto"/>
              <w:right w:val="single" w:sz="4" w:space="0" w:color="auto"/>
            </w:tcBorders>
            <w:shd w:val="clear" w:color="000000" w:fill="EDE683"/>
            <w:noWrap/>
            <w:vAlign w:val="center"/>
            <w:hideMark/>
          </w:tcPr>
          <w:p w14:paraId="27536185"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0.36</w:t>
            </w:r>
          </w:p>
        </w:tc>
        <w:tc>
          <w:tcPr>
            <w:tcW w:w="2740" w:type="dxa"/>
            <w:tcBorders>
              <w:top w:val="single" w:sz="4" w:space="0" w:color="auto"/>
              <w:left w:val="single" w:sz="4" w:space="0" w:color="auto"/>
              <w:bottom w:val="single" w:sz="4" w:space="0" w:color="auto"/>
              <w:right w:val="single" w:sz="4" w:space="0" w:color="auto"/>
            </w:tcBorders>
            <w:shd w:val="clear" w:color="000000" w:fill="FED880"/>
            <w:noWrap/>
            <w:vAlign w:val="center"/>
            <w:hideMark/>
          </w:tcPr>
          <w:p w14:paraId="44D0EA7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0.25</w:t>
            </w:r>
          </w:p>
        </w:tc>
        <w:tc>
          <w:tcPr>
            <w:tcW w:w="2100" w:type="dxa"/>
            <w:tcBorders>
              <w:top w:val="single" w:sz="4" w:space="0" w:color="auto"/>
              <w:left w:val="single" w:sz="4" w:space="0" w:color="auto"/>
              <w:bottom w:val="single" w:sz="4" w:space="0" w:color="auto"/>
              <w:right w:val="single" w:sz="4" w:space="0" w:color="auto"/>
            </w:tcBorders>
            <w:shd w:val="clear" w:color="000000" w:fill="E0E283"/>
            <w:noWrap/>
            <w:vAlign w:val="center"/>
            <w:hideMark/>
          </w:tcPr>
          <w:p w14:paraId="1DC04F3F"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0.40</w:t>
            </w:r>
          </w:p>
        </w:tc>
      </w:tr>
      <w:tr w:rsidR="001E285D" w:rsidRPr="00EE6F4E" w14:paraId="5391328D"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04220D33"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2009</w:t>
            </w:r>
          </w:p>
        </w:tc>
        <w:tc>
          <w:tcPr>
            <w:tcW w:w="2240" w:type="dxa"/>
            <w:tcBorders>
              <w:top w:val="single" w:sz="4" w:space="0" w:color="auto"/>
              <w:left w:val="single" w:sz="4" w:space="0" w:color="auto"/>
              <w:bottom w:val="single" w:sz="4" w:space="0" w:color="auto"/>
              <w:right w:val="single" w:sz="4" w:space="0" w:color="auto"/>
            </w:tcBorders>
            <w:shd w:val="clear" w:color="000000" w:fill="FEE983"/>
            <w:noWrap/>
            <w:vAlign w:val="center"/>
            <w:hideMark/>
          </w:tcPr>
          <w:p w14:paraId="29611CFE"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0.29</w:t>
            </w:r>
          </w:p>
        </w:tc>
        <w:tc>
          <w:tcPr>
            <w:tcW w:w="2300" w:type="dxa"/>
            <w:tcBorders>
              <w:top w:val="single" w:sz="4" w:space="0" w:color="auto"/>
              <w:left w:val="single" w:sz="4" w:space="0" w:color="auto"/>
              <w:bottom w:val="single" w:sz="4" w:space="0" w:color="auto"/>
              <w:right w:val="single" w:sz="4" w:space="0" w:color="auto"/>
            </w:tcBorders>
            <w:shd w:val="clear" w:color="000000" w:fill="F0E784"/>
            <w:noWrap/>
            <w:vAlign w:val="center"/>
            <w:hideMark/>
          </w:tcPr>
          <w:p w14:paraId="0DA21059"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0.35</w:t>
            </w:r>
          </w:p>
        </w:tc>
        <w:tc>
          <w:tcPr>
            <w:tcW w:w="2740" w:type="dxa"/>
            <w:tcBorders>
              <w:top w:val="single" w:sz="4" w:space="0" w:color="auto"/>
              <w:left w:val="single" w:sz="4" w:space="0" w:color="auto"/>
              <w:bottom w:val="single" w:sz="4" w:space="0" w:color="auto"/>
              <w:right w:val="single" w:sz="4" w:space="0" w:color="auto"/>
            </w:tcBorders>
            <w:shd w:val="clear" w:color="000000" w:fill="FDD37F"/>
            <w:noWrap/>
            <w:vAlign w:val="center"/>
            <w:hideMark/>
          </w:tcPr>
          <w:p w14:paraId="1D59D22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0.24</w:t>
            </w:r>
          </w:p>
        </w:tc>
        <w:tc>
          <w:tcPr>
            <w:tcW w:w="2100" w:type="dxa"/>
            <w:tcBorders>
              <w:top w:val="single" w:sz="4" w:space="0" w:color="auto"/>
              <w:left w:val="single" w:sz="4" w:space="0" w:color="auto"/>
              <w:bottom w:val="single" w:sz="4" w:space="0" w:color="auto"/>
              <w:right w:val="single" w:sz="4" w:space="0" w:color="auto"/>
            </w:tcBorders>
            <w:shd w:val="clear" w:color="000000" w:fill="E1E383"/>
            <w:noWrap/>
            <w:vAlign w:val="center"/>
            <w:hideMark/>
          </w:tcPr>
          <w:p w14:paraId="19E0791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0.40</w:t>
            </w:r>
          </w:p>
        </w:tc>
      </w:tr>
      <w:tr w:rsidR="001E285D" w:rsidRPr="00EE6F4E" w14:paraId="4846D83B"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044D3FF7"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2010</w:t>
            </w:r>
          </w:p>
        </w:tc>
        <w:tc>
          <w:tcPr>
            <w:tcW w:w="2240" w:type="dxa"/>
            <w:tcBorders>
              <w:top w:val="single" w:sz="4" w:space="0" w:color="auto"/>
              <w:left w:val="single" w:sz="4" w:space="0" w:color="auto"/>
              <w:bottom w:val="single" w:sz="4" w:space="0" w:color="auto"/>
              <w:right w:val="single" w:sz="4" w:space="0" w:color="auto"/>
            </w:tcBorders>
            <w:shd w:val="clear" w:color="000000" w:fill="FDEB84"/>
            <w:noWrap/>
            <w:vAlign w:val="center"/>
            <w:hideMark/>
          </w:tcPr>
          <w:p w14:paraId="229B9A0F"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0.30</w:t>
            </w:r>
          </w:p>
        </w:tc>
        <w:tc>
          <w:tcPr>
            <w:tcW w:w="2300" w:type="dxa"/>
            <w:tcBorders>
              <w:top w:val="single" w:sz="4" w:space="0" w:color="auto"/>
              <w:left w:val="single" w:sz="4" w:space="0" w:color="auto"/>
              <w:bottom w:val="single" w:sz="4" w:space="0" w:color="auto"/>
              <w:right w:val="single" w:sz="4" w:space="0" w:color="auto"/>
            </w:tcBorders>
            <w:shd w:val="clear" w:color="000000" w:fill="E3E383"/>
            <w:noWrap/>
            <w:vAlign w:val="center"/>
            <w:hideMark/>
          </w:tcPr>
          <w:p w14:paraId="4671F52F"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0.39</w:t>
            </w:r>
          </w:p>
        </w:tc>
        <w:tc>
          <w:tcPr>
            <w:tcW w:w="2740" w:type="dxa"/>
            <w:tcBorders>
              <w:top w:val="single" w:sz="4" w:space="0" w:color="auto"/>
              <w:left w:val="single" w:sz="4" w:space="0" w:color="auto"/>
              <w:bottom w:val="single" w:sz="4" w:space="0" w:color="auto"/>
              <w:right w:val="single" w:sz="4" w:space="0" w:color="auto"/>
            </w:tcBorders>
            <w:shd w:val="clear" w:color="000000" w:fill="FEE182"/>
            <w:noWrap/>
            <w:vAlign w:val="center"/>
            <w:hideMark/>
          </w:tcPr>
          <w:p w14:paraId="1CD7EDB5"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0.27</w:t>
            </w:r>
          </w:p>
        </w:tc>
        <w:tc>
          <w:tcPr>
            <w:tcW w:w="2100" w:type="dxa"/>
            <w:tcBorders>
              <w:top w:val="single" w:sz="4" w:space="0" w:color="auto"/>
              <w:left w:val="single" w:sz="4" w:space="0" w:color="auto"/>
              <w:bottom w:val="single" w:sz="4" w:space="0" w:color="auto"/>
              <w:right w:val="single" w:sz="4" w:space="0" w:color="auto"/>
            </w:tcBorders>
            <w:shd w:val="clear" w:color="000000" w:fill="F8E984"/>
            <w:noWrap/>
            <w:vAlign w:val="center"/>
            <w:hideMark/>
          </w:tcPr>
          <w:p w14:paraId="22C7063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0.32</w:t>
            </w:r>
          </w:p>
        </w:tc>
      </w:tr>
      <w:tr w:rsidR="001E285D" w:rsidRPr="00EE6F4E" w14:paraId="65E7278F"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60E21E42"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2011</w:t>
            </w:r>
          </w:p>
        </w:tc>
        <w:tc>
          <w:tcPr>
            <w:tcW w:w="2240" w:type="dxa"/>
            <w:tcBorders>
              <w:top w:val="single" w:sz="4" w:space="0" w:color="auto"/>
              <w:left w:val="single" w:sz="4" w:space="0" w:color="auto"/>
              <w:bottom w:val="single" w:sz="4" w:space="0" w:color="auto"/>
              <w:right w:val="single" w:sz="4" w:space="0" w:color="auto"/>
            </w:tcBorders>
            <w:shd w:val="clear" w:color="000000" w:fill="F5E884"/>
            <w:noWrap/>
            <w:vAlign w:val="center"/>
            <w:hideMark/>
          </w:tcPr>
          <w:p w14:paraId="5DAFA71C"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0.33</w:t>
            </w:r>
          </w:p>
        </w:tc>
        <w:tc>
          <w:tcPr>
            <w:tcW w:w="2300" w:type="dxa"/>
            <w:tcBorders>
              <w:top w:val="single" w:sz="4" w:space="0" w:color="auto"/>
              <w:left w:val="single" w:sz="4" w:space="0" w:color="auto"/>
              <w:bottom w:val="single" w:sz="4" w:space="0" w:color="auto"/>
              <w:right w:val="single" w:sz="4" w:space="0" w:color="auto"/>
            </w:tcBorders>
            <w:shd w:val="clear" w:color="000000" w:fill="E3E383"/>
            <w:noWrap/>
            <w:vAlign w:val="center"/>
            <w:hideMark/>
          </w:tcPr>
          <w:p w14:paraId="36AAD4E8"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0.39</w:t>
            </w:r>
          </w:p>
        </w:tc>
        <w:tc>
          <w:tcPr>
            <w:tcW w:w="2740" w:type="dxa"/>
            <w:tcBorders>
              <w:top w:val="single" w:sz="4" w:space="0" w:color="auto"/>
              <w:left w:val="single" w:sz="4" w:space="0" w:color="auto"/>
              <w:bottom w:val="single" w:sz="4" w:space="0" w:color="auto"/>
              <w:right w:val="single" w:sz="4" w:space="0" w:color="auto"/>
            </w:tcBorders>
            <w:shd w:val="clear" w:color="000000" w:fill="FEE683"/>
            <w:noWrap/>
            <w:vAlign w:val="center"/>
            <w:hideMark/>
          </w:tcPr>
          <w:p w14:paraId="52B6AC29"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0.28</w:t>
            </w:r>
          </w:p>
        </w:tc>
        <w:tc>
          <w:tcPr>
            <w:tcW w:w="2100" w:type="dxa"/>
            <w:tcBorders>
              <w:top w:val="single" w:sz="4" w:space="0" w:color="auto"/>
              <w:left w:val="single" w:sz="4" w:space="0" w:color="auto"/>
              <w:bottom w:val="single" w:sz="4" w:space="0" w:color="auto"/>
              <w:right w:val="single" w:sz="4" w:space="0" w:color="auto"/>
            </w:tcBorders>
            <w:shd w:val="clear" w:color="000000" w:fill="E9E583"/>
            <w:noWrap/>
            <w:vAlign w:val="center"/>
            <w:hideMark/>
          </w:tcPr>
          <w:p w14:paraId="44F77F9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0.37</w:t>
            </w:r>
          </w:p>
        </w:tc>
      </w:tr>
      <w:tr w:rsidR="001E285D" w:rsidRPr="00EE6F4E" w14:paraId="6D647B1B"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6FE59960"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2012</w:t>
            </w:r>
          </w:p>
        </w:tc>
        <w:tc>
          <w:tcPr>
            <w:tcW w:w="2240" w:type="dxa"/>
            <w:tcBorders>
              <w:top w:val="single" w:sz="4" w:space="0" w:color="auto"/>
              <w:left w:val="single" w:sz="4" w:space="0" w:color="auto"/>
              <w:bottom w:val="single" w:sz="4" w:space="0" w:color="auto"/>
              <w:right w:val="single" w:sz="4" w:space="0" w:color="auto"/>
            </w:tcBorders>
            <w:shd w:val="clear" w:color="000000" w:fill="FEE081"/>
            <w:noWrap/>
            <w:vAlign w:val="center"/>
            <w:hideMark/>
          </w:tcPr>
          <w:p w14:paraId="5639DE73"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0.27</w:t>
            </w:r>
          </w:p>
        </w:tc>
        <w:tc>
          <w:tcPr>
            <w:tcW w:w="2300" w:type="dxa"/>
            <w:tcBorders>
              <w:top w:val="single" w:sz="4" w:space="0" w:color="auto"/>
              <w:left w:val="single" w:sz="4" w:space="0" w:color="auto"/>
              <w:bottom w:val="single" w:sz="4" w:space="0" w:color="auto"/>
              <w:right w:val="single" w:sz="4" w:space="0" w:color="auto"/>
            </w:tcBorders>
            <w:shd w:val="clear" w:color="000000" w:fill="E8E583"/>
            <w:noWrap/>
            <w:vAlign w:val="center"/>
            <w:hideMark/>
          </w:tcPr>
          <w:p w14:paraId="0517D53F"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0.37</w:t>
            </w:r>
          </w:p>
        </w:tc>
        <w:tc>
          <w:tcPr>
            <w:tcW w:w="2740" w:type="dxa"/>
            <w:tcBorders>
              <w:top w:val="single" w:sz="4" w:space="0" w:color="auto"/>
              <w:left w:val="single" w:sz="4" w:space="0" w:color="auto"/>
              <w:bottom w:val="single" w:sz="4" w:space="0" w:color="auto"/>
              <w:right w:val="single" w:sz="4" w:space="0" w:color="auto"/>
            </w:tcBorders>
            <w:shd w:val="clear" w:color="000000" w:fill="FDD780"/>
            <w:noWrap/>
            <w:vAlign w:val="center"/>
            <w:hideMark/>
          </w:tcPr>
          <w:p w14:paraId="7E5C81D6"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0.25</w:t>
            </w:r>
          </w:p>
        </w:tc>
        <w:tc>
          <w:tcPr>
            <w:tcW w:w="2100" w:type="dxa"/>
            <w:tcBorders>
              <w:top w:val="single" w:sz="4" w:space="0" w:color="auto"/>
              <w:left w:val="single" w:sz="4" w:space="0" w:color="auto"/>
              <w:bottom w:val="single" w:sz="4" w:space="0" w:color="auto"/>
              <w:right w:val="single" w:sz="4" w:space="0" w:color="auto"/>
            </w:tcBorders>
            <w:shd w:val="clear" w:color="000000" w:fill="DDE182"/>
            <w:noWrap/>
            <w:vAlign w:val="center"/>
            <w:hideMark/>
          </w:tcPr>
          <w:p w14:paraId="3DEDF889"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0.41</w:t>
            </w:r>
          </w:p>
        </w:tc>
      </w:tr>
      <w:tr w:rsidR="001E285D" w:rsidRPr="00EE6F4E" w14:paraId="265E5A4F"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42D3A4C2"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2013</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4C647A52"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45B57F72"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F9816F"/>
            <w:noWrap/>
            <w:vAlign w:val="center"/>
            <w:hideMark/>
          </w:tcPr>
          <w:p w14:paraId="5EE70238"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0.05</w:t>
            </w:r>
          </w:p>
        </w:tc>
        <w:tc>
          <w:tcPr>
            <w:tcW w:w="21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5F4CF4F6"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1E285D" w:rsidRPr="00EE6F4E" w14:paraId="6EB4FE91"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0CBB537B"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2014</w:t>
            </w:r>
          </w:p>
        </w:tc>
        <w:tc>
          <w:tcPr>
            <w:tcW w:w="2240" w:type="dxa"/>
            <w:tcBorders>
              <w:top w:val="single" w:sz="4" w:space="0" w:color="auto"/>
              <w:left w:val="single" w:sz="4" w:space="0" w:color="auto"/>
              <w:bottom w:val="single" w:sz="4" w:space="0" w:color="auto"/>
              <w:right w:val="single" w:sz="4" w:space="0" w:color="auto"/>
            </w:tcBorders>
            <w:shd w:val="clear" w:color="000000" w:fill="CDDD82"/>
            <w:noWrap/>
            <w:vAlign w:val="center"/>
            <w:hideMark/>
          </w:tcPr>
          <w:p w14:paraId="097E53CE"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0.47</w:t>
            </w:r>
          </w:p>
        </w:tc>
        <w:tc>
          <w:tcPr>
            <w:tcW w:w="2300" w:type="dxa"/>
            <w:tcBorders>
              <w:top w:val="single" w:sz="4" w:space="0" w:color="auto"/>
              <w:left w:val="single" w:sz="4" w:space="0" w:color="auto"/>
              <w:bottom w:val="single" w:sz="4" w:space="0" w:color="auto"/>
              <w:right w:val="single" w:sz="4" w:space="0" w:color="auto"/>
            </w:tcBorders>
            <w:shd w:val="clear" w:color="000000" w:fill="83C87D"/>
            <w:noWrap/>
            <w:vAlign w:val="center"/>
            <w:hideMark/>
          </w:tcPr>
          <w:p w14:paraId="4E61A93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0.73</w:t>
            </w:r>
          </w:p>
        </w:tc>
        <w:tc>
          <w:tcPr>
            <w:tcW w:w="27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13A4FF8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00" w:type="dxa"/>
            <w:tcBorders>
              <w:top w:val="single" w:sz="4" w:space="0" w:color="auto"/>
              <w:left w:val="single" w:sz="4" w:space="0" w:color="auto"/>
              <w:bottom w:val="single" w:sz="4" w:space="0" w:color="auto"/>
              <w:right w:val="single" w:sz="4" w:space="0" w:color="auto"/>
            </w:tcBorders>
            <w:shd w:val="clear" w:color="000000" w:fill="ADD480"/>
            <w:noWrap/>
            <w:vAlign w:val="center"/>
            <w:hideMark/>
          </w:tcPr>
          <w:p w14:paraId="3BEC2E32"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0.58</w:t>
            </w:r>
          </w:p>
        </w:tc>
      </w:tr>
      <w:tr w:rsidR="001E285D" w:rsidRPr="00EE6F4E" w14:paraId="1EB49687"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3096E8AD"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2015</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2869132F"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6211BFD9"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FBAC78"/>
            <w:noWrap/>
            <w:vAlign w:val="center"/>
            <w:hideMark/>
          </w:tcPr>
          <w:p w14:paraId="5DF9D680"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0.15</w:t>
            </w:r>
          </w:p>
        </w:tc>
        <w:tc>
          <w:tcPr>
            <w:tcW w:w="21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54A6D13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1E285D" w:rsidRPr="00EE6F4E" w14:paraId="61343D64"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10FF7C55"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2016</w:t>
            </w:r>
          </w:p>
        </w:tc>
        <w:tc>
          <w:tcPr>
            <w:tcW w:w="2240" w:type="dxa"/>
            <w:tcBorders>
              <w:top w:val="single" w:sz="4" w:space="0" w:color="auto"/>
              <w:left w:val="single" w:sz="4" w:space="0" w:color="auto"/>
              <w:bottom w:val="single" w:sz="4" w:space="0" w:color="auto"/>
              <w:right w:val="single" w:sz="4" w:space="0" w:color="auto"/>
            </w:tcBorders>
            <w:shd w:val="clear" w:color="000000" w:fill="FA9C74"/>
            <w:noWrap/>
            <w:vAlign w:val="center"/>
            <w:hideMark/>
          </w:tcPr>
          <w:p w14:paraId="345180B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0.12</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5C3393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8ECB7E"/>
            <w:noWrap/>
            <w:vAlign w:val="center"/>
            <w:hideMark/>
          </w:tcPr>
          <w:p w14:paraId="1D775CFC"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0.69</w:t>
            </w:r>
          </w:p>
        </w:tc>
        <w:tc>
          <w:tcPr>
            <w:tcW w:w="2100" w:type="dxa"/>
            <w:tcBorders>
              <w:top w:val="single" w:sz="4" w:space="0" w:color="auto"/>
              <w:left w:val="single" w:sz="4" w:space="0" w:color="auto"/>
              <w:bottom w:val="single" w:sz="4" w:space="0" w:color="auto"/>
              <w:right w:val="single" w:sz="4" w:space="0" w:color="auto"/>
            </w:tcBorders>
            <w:shd w:val="clear" w:color="000000" w:fill="FCC17C"/>
            <w:noWrap/>
            <w:vAlign w:val="center"/>
            <w:hideMark/>
          </w:tcPr>
          <w:p w14:paraId="0736ED2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0.20</w:t>
            </w:r>
          </w:p>
        </w:tc>
      </w:tr>
      <w:tr w:rsidR="001E285D" w:rsidRPr="00EE6F4E" w14:paraId="4C50AB4C"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C2411D3"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2017</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ECCA616"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0C0CA36A"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B8D780"/>
            <w:noWrap/>
            <w:vAlign w:val="center"/>
            <w:hideMark/>
          </w:tcPr>
          <w:p w14:paraId="5BE5D21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0.54</w:t>
            </w:r>
          </w:p>
        </w:tc>
        <w:tc>
          <w:tcPr>
            <w:tcW w:w="21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1AB9286D"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1E285D" w:rsidRPr="00EE6F4E" w14:paraId="5ECE5929"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4DC86A4F"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2018</w:t>
            </w:r>
          </w:p>
        </w:tc>
        <w:tc>
          <w:tcPr>
            <w:tcW w:w="2240" w:type="dxa"/>
            <w:tcBorders>
              <w:top w:val="single" w:sz="4" w:space="0" w:color="auto"/>
              <w:left w:val="single" w:sz="4" w:space="0" w:color="auto"/>
              <w:bottom w:val="single" w:sz="4" w:space="0" w:color="auto"/>
              <w:right w:val="single" w:sz="4" w:space="0" w:color="auto"/>
            </w:tcBorders>
            <w:shd w:val="clear" w:color="000000" w:fill="ACD380"/>
            <w:noWrap/>
            <w:vAlign w:val="center"/>
            <w:hideMark/>
          </w:tcPr>
          <w:p w14:paraId="1CA34187"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0.59</w:t>
            </w:r>
          </w:p>
        </w:tc>
        <w:tc>
          <w:tcPr>
            <w:tcW w:w="2300" w:type="dxa"/>
            <w:tcBorders>
              <w:top w:val="single" w:sz="4" w:space="0" w:color="auto"/>
              <w:left w:val="single" w:sz="4" w:space="0" w:color="auto"/>
              <w:bottom w:val="single" w:sz="4" w:space="0" w:color="auto"/>
              <w:right w:val="single" w:sz="4" w:space="0" w:color="auto"/>
            </w:tcBorders>
            <w:shd w:val="clear" w:color="000000" w:fill="A0D07F"/>
            <w:noWrap/>
            <w:vAlign w:val="center"/>
            <w:hideMark/>
          </w:tcPr>
          <w:p w14:paraId="3E158FF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0.63</w:t>
            </w:r>
          </w:p>
        </w:tc>
        <w:tc>
          <w:tcPr>
            <w:tcW w:w="2740" w:type="dxa"/>
            <w:tcBorders>
              <w:top w:val="single" w:sz="4" w:space="0" w:color="auto"/>
              <w:left w:val="single" w:sz="4" w:space="0" w:color="auto"/>
              <w:bottom w:val="single" w:sz="4" w:space="0" w:color="auto"/>
              <w:right w:val="single" w:sz="4" w:space="0" w:color="auto"/>
            </w:tcBorders>
            <w:shd w:val="clear" w:color="000000" w:fill="78C57D"/>
            <w:noWrap/>
            <w:vAlign w:val="center"/>
            <w:hideMark/>
          </w:tcPr>
          <w:p w14:paraId="5C3FD75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0.77</w:t>
            </w:r>
          </w:p>
        </w:tc>
        <w:tc>
          <w:tcPr>
            <w:tcW w:w="2100" w:type="dxa"/>
            <w:tcBorders>
              <w:top w:val="single" w:sz="4" w:space="0" w:color="auto"/>
              <w:left w:val="single" w:sz="4" w:space="0" w:color="auto"/>
              <w:bottom w:val="single" w:sz="4" w:space="0" w:color="auto"/>
              <w:right w:val="single" w:sz="4" w:space="0" w:color="auto"/>
            </w:tcBorders>
            <w:shd w:val="clear" w:color="000000" w:fill="67C07C"/>
            <w:noWrap/>
            <w:vAlign w:val="center"/>
            <w:hideMark/>
          </w:tcPr>
          <w:p w14:paraId="1835B0DA"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0.83</w:t>
            </w:r>
          </w:p>
        </w:tc>
      </w:tr>
      <w:tr w:rsidR="001E285D" w:rsidRPr="00EE6F4E" w14:paraId="4C998CD1"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D3F5C0D"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2019</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2BB369C"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132B015A"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95CD7E"/>
            <w:noWrap/>
            <w:vAlign w:val="center"/>
            <w:hideMark/>
          </w:tcPr>
          <w:p w14:paraId="73DF84C7"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0.66</w:t>
            </w:r>
          </w:p>
        </w:tc>
        <w:tc>
          <w:tcPr>
            <w:tcW w:w="2100" w:type="dxa"/>
            <w:tcBorders>
              <w:top w:val="single" w:sz="4" w:space="0" w:color="auto"/>
              <w:left w:val="single" w:sz="4" w:space="0" w:color="auto"/>
              <w:bottom w:val="single" w:sz="4" w:space="0" w:color="auto"/>
              <w:right w:val="single" w:sz="4" w:space="0" w:color="auto"/>
            </w:tcBorders>
            <w:shd w:val="clear" w:color="000000" w:fill="D3DF82"/>
            <w:noWrap/>
            <w:vAlign w:val="center"/>
            <w:hideMark/>
          </w:tcPr>
          <w:p w14:paraId="60F5B12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0.45</w:t>
            </w:r>
          </w:p>
        </w:tc>
      </w:tr>
      <w:tr w:rsidR="001E285D" w:rsidRPr="00EE6F4E" w14:paraId="2290A40D"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39BC067E"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2020</w:t>
            </w:r>
          </w:p>
        </w:tc>
        <w:tc>
          <w:tcPr>
            <w:tcW w:w="2240" w:type="dxa"/>
            <w:tcBorders>
              <w:top w:val="single" w:sz="4" w:space="0" w:color="auto"/>
              <w:left w:val="single" w:sz="4" w:space="0" w:color="auto"/>
              <w:bottom w:val="single" w:sz="4" w:space="0" w:color="auto"/>
              <w:right w:val="single" w:sz="4" w:space="0" w:color="auto"/>
            </w:tcBorders>
            <w:shd w:val="clear" w:color="000000" w:fill="81C77D"/>
            <w:noWrap/>
            <w:vAlign w:val="center"/>
            <w:hideMark/>
          </w:tcPr>
          <w:p w14:paraId="7D51DE12"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0.74</w:t>
            </w:r>
          </w:p>
        </w:tc>
        <w:tc>
          <w:tcPr>
            <w:tcW w:w="2300" w:type="dxa"/>
            <w:tcBorders>
              <w:top w:val="single" w:sz="4" w:space="0" w:color="auto"/>
              <w:left w:val="single" w:sz="4" w:space="0" w:color="auto"/>
              <w:bottom w:val="single" w:sz="4" w:space="0" w:color="auto"/>
              <w:right w:val="single" w:sz="4" w:space="0" w:color="auto"/>
            </w:tcBorders>
            <w:shd w:val="clear" w:color="000000" w:fill="ADD480"/>
            <w:noWrap/>
            <w:vAlign w:val="center"/>
            <w:hideMark/>
          </w:tcPr>
          <w:p w14:paraId="48C1519F"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0.58</w:t>
            </w:r>
          </w:p>
        </w:tc>
        <w:tc>
          <w:tcPr>
            <w:tcW w:w="2740" w:type="dxa"/>
            <w:tcBorders>
              <w:top w:val="single" w:sz="4" w:space="0" w:color="auto"/>
              <w:left w:val="single" w:sz="4" w:space="0" w:color="auto"/>
              <w:bottom w:val="single" w:sz="4" w:space="0" w:color="auto"/>
              <w:right w:val="single" w:sz="4" w:space="0" w:color="auto"/>
            </w:tcBorders>
            <w:shd w:val="clear" w:color="000000" w:fill="7EC67D"/>
            <w:noWrap/>
            <w:vAlign w:val="center"/>
            <w:hideMark/>
          </w:tcPr>
          <w:p w14:paraId="3B652EF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0.75</w:t>
            </w:r>
          </w:p>
        </w:tc>
        <w:tc>
          <w:tcPr>
            <w:tcW w:w="2100" w:type="dxa"/>
            <w:tcBorders>
              <w:top w:val="single" w:sz="4" w:space="0" w:color="auto"/>
              <w:left w:val="single" w:sz="4" w:space="0" w:color="auto"/>
              <w:bottom w:val="single" w:sz="4" w:space="0" w:color="auto"/>
              <w:right w:val="single" w:sz="4" w:space="0" w:color="auto"/>
            </w:tcBorders>
            <w:shd w:val="clear" w:color="000000" w:fill="6AC07C"/>
            <w:noWrap/>
            <w:vAlign w:val="center"/>
            <w:hideMark/>
          </w:tcPr>
          <w:p w14:paraId="33C8347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0.82</w:t>
            </w:r>
          </w:p>
        </w:tc>
      </w:tr>
      <w:tr w:rsidR="001E285D" w:rsidRPr="00EE6F4E" w14:paraId="5F509849"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1F247C3"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lastRenderedPageBreak/>
              <w:t>2021</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66B7D0CA"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4D1C421"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8BCA7E"/>
            <w:noWrap/>
            <w:vAlign w:val="center"/>
            <w:hideMark/>
          </w:tcPr>
          <w:p w14:paraId="6E5DEB4B"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0.70</w:t>
            </w:r>
          </w:p>
        </w:tc>
        <w:tc>
          <w:tcPr>
            <w:tcW w:w="2100" w:type="dxa"/>
            <w:tcBorders>
              <w:top w:val="single" w:sz="4" w:space="0" w:color="auto"/>
              <w:left w:val="single" w:sz="4" w:space="0" w:color="auto"/>
              <w:bottom w:val="single" w:sz="4" w:space="0" w:color="auto"/>
              <w:right w:val="single" w:sz="4" w:space="0" w:color="auto"/>
            </w:tcBorders>
            <w:shd w:val="clear" w:color="000000" w:fill="A3D17F"/>
            <w:noWrap/>
            <w:vAlign w:val="center"/>
            <w:hideMark/>
          </w:tcPr>
          <w:p w14:paraId="24189D20"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0.62</w:t>
            </w:r>
          </w:p>
        </w:tc>
      </w:tr>
      <w:tr w:rsidR="001E285D" w:rsidRPr="00EE6F4E" w14:paraId="3049944C"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31EF032F"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2022</w:t>
            </w:r>
          </w:p>
        </w:tc>
        <w:tc>
          <w:tcPr>
            <w:tcW w:w="2240" w:type="dxa"/>
            <w:tcBorders>
              <w:top w:val="single" w:sz="4" w:space="0" w:color="auto"/>
              <w:left w:val="single" w:sz="4" w:space="0" w:color="auto"/>
              <w:bottom w:val="single" w:sz="4" w:space="0" w:color="auto"/>
              <w:right w:val="single" w:sz="4" w:space="0" w:color="auto"/>
            </w:tcBorders>
            <w:shd w:val="clear" w:color="000000" w:fill="98CE7F"/>
            <w:noWrap/>
            <w:vAlign w:val="center"/>
            <w:hideMark/>
          </w:tcPr>
          <w:p w14:paraId="3959F3AC"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0.65</w:t>
            </w:r>
          </w:p>
        </w:tc>
        <w:tc>
          <w:tcPr>
            <w:tcW w:w="2300" w:type="dxa"/>
            <w:tcBorders>
              <w:top w:val="single" w:sz="4" w:space="0" w:color="auto"/>
              <w:left w:val="single" w:sz="4" w:space="0" w:color="auto"/>
              <w:bottom w:val="single" w:sz="4" w:space="0" w:color="auto"/>
              <w:right w:val="single" w:sz="4" w:space="0" w:color="auto"/>
            </w:tcBorders>
            <w:shd w:val="clear" w:color="000000" w:fill="CCDD82"/>
            <w:noWrap/>
            <w:vAlign w:val="center"/>
            <w:hideMark/>
          </w:tcPr>
          <w:p w14:paraId="4AE5DFE8"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0.47</w:t>
            </w:r>
          </w:p>
        </w:tc>
        <w:tc>
          <w:tcPr>
            <w:tcW w:w="2740" w:type="dxa"/>
            <w:tcBorders>
              <w:top w:val="single" w:sz="4" w:space="0" w:color="auto"/>
              <w:left w:val="single" w:sz="4" w:space="0" w:color="auto"/>
              <w:bottom w:val="single" w:sz="4" w:space="0" w:color="auto"/>
              <w:right w:val="single" w:sz="4" w:space="0" w:color="auto"/>
            </w:tcBorders>
            <w:shd w:val="clear" w:color="000000" w:fill="8FCB7E"/>
            <w:noWrap/>
            <w:vAlign w:val="center"/>
            <w:hideMark/>
          </w:tcPr>
          <w:p w14:paraId="6FCB99A0"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0.68</w:t>
            </w:r>
          </w:p>
        </w:tc>
        <w:tc>
          <w:tcPr>
            <w:tcW w:w="2100" w:type="dxa"/>
            <w:tcBorders>
              <w:top w:val="single" w:sz="4" w:space="0" w:color="auto"/>
              <w:left w:val="single" w:sz="4" w:space="0" w:color="auto"/>
              <w:bottom w:val="single" w:sz="4" w:space="0" w:color="auto"/>
              <w:right w:val="single" w:sz="4" w:space="0" w:color="auto"/>
            </w:tcBorders>
            <w:shd w:val="clear" w:color="000000" w:fill="63BE7B"/>
            <w:noWrap/>
            <w:vAlign w:val="center"/>
            <w:hideMark/>
          </w:tcPr>
          <w:p w14:paraId="70D180DD"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0.84</w:t>
            </w:r>
          </w:p>
        </w:tc>
      </w:tr>
      <w:tr w:rsidR="001E285D" w:rsidRPr="00EE6F4E" w14:paraId="0C1A406E"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11CB04C0" w14:textId="77777777" w:rsidR="001E285D" w:rsidRPr="00EE6F4E" w:rsidRDefault="001E285D"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2023</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481E4C3"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631CA5A"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8DCB7E"/>
            <w:noWrap/>
            <w:vAlign w:val="center"/>
            <w:hideMark/>
          </w:tcPr>
          <w:p w14:paraId="6F2CE3C4"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0.69</w:t>
            </w:r>
          </w:p>
        </w:tc>
        <w:tc>
          <w:tcPr>
            <w:tcW w:w="2100" w:type="dxa"/>
            <w:tcBorders>
              <w:top w:val="single" w:sz="4" w:space="0" w:color="auto"/>
              <w:left w:val="single" w:sz="4" w:space="0" w:color="auto"/>
              <w:bottom w:val="single" w:sz="4" w:space="0" w:color="auto"/>
              <w:right w:val="single" w:sz="4" w:space="0" w:color="auto"/>
            </w:tcBorders>
            <w:shd w:val="clear" w:color="000000" w:fill="D9E182"/>
            <w:noWrap/>
            <w:vAlign w:val="center"/>
            <w:hideMark/>
          </w:tcPr>
          <w:p w14:paraId="282AC6D2" w14:textId="77777777" w:rsidR="001E285D" w:rsidRPr="00EE6F4E" w:rsidRDefault="001E285D"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0.43</w:t>
            </w:r>
          </w:p>
        </w:tc>
      </w:tr>
    </w:tbl>
    <w:p w14:paraId="3E2D3ACE" w14:textId="4EBC8C09" w:rsidR="001E285D" w:rsidRPr="001E285D" w:rsidRDefault="001E285D" w:rsidP="001E285D">
      <w:pPr>
        <w:spacing w:line="360" w:lineRule="auto"/>
        <w:ind w:firstLine="720"/>
        <w:jc w:val="center"/>
        <w:rPr>
          <w:rFonts w:ascii="Times New Roman" w:hAnsi="Times New Roman" w:cs="Times New Roman"/>
          <w:lang w:val="bg-BG"/>
        </w:rPr>
      </w:pPr>
      <w:r w:rsidRPr="001E285D">
        <w:rPr>
          <w:rFonts w:ascii="Times New Roman" w:hAnsi="Times New Roman" w:cs="Times New Roman"/>
        </w:rPr>
        <w:t>Source: Own calculations</w:t>
      </w:r>
    </w:p>
    <w:p w14:paraId="607605ED" w14:textId="7F2A0698" w:rsidR="00F81095" w:rsidRDefault="001E285D" w:rsidP="00F81095">
      <w:pPr>
        <w:spacing w:line="360" w:lineRule="auto"/>
        <w:ind w:firstLine="720"/>
        <w:jc w:val="both"/>
        <w:rPr>
          <w:rFonts w:ascii="Times New Roman" w:hAnsi="Times New Roman" w:cs="Times New Roman"/>
        </w:rPr>
      </w:pPr>
      <w:r w:rsidRPr="001E285D">
        <w:rPr>
          <w:rFonts w:ascii="Times New Roman" w:hAnsi="Times New Roman" w:cs="Times New Roman"/>
        </w:rPr>
        <w:t>The observed values and dynamics of the RCA coefficient demonstrate clearly expressed differences between the individual sectors, with a leading trend emerging toward the sustained superiority of capital-intensive and industrialized production models compared to labor-intensive and extensive forms of farming.</w:t>
      </w:r>
    </w:p>
    <w:p w14:paraId="092394DB" w14:textId="57BA5F6D" w:rsidR="001E285D" w:rsidRDefault="001E285D" w:rsidP="001E285D">
      <w:pPr>
        <w:spacing w:line="360" w:lineRule="auto"/>
        <w:ind w:firstLine="720"/>
        <w:jc w:val="center"/>
        <w:rPr>
          <w:rFonts w:ascii="Times New Roman" w:hAnsi="Times New Roman" w:cs="Times New Roman"/>
        </w:rPr>
      </w:pPr>
      <w:r w:rsidRPr="001E285D">
        <w:rPr>
          <w:rFonts w:ascii="Times New Roman" w:hAnsi="Times New Roman" w:cs="Times New Roman"/>
        </w:rPr>
        <w:t>Figure 11: Dynamics of economic efficiency of agricultural holdings by production specialization, measured through the RCA economic coefficient (2007–2023)</w:t>
      </w:r>
    </w:p>
    <w:p w14:paraId="71E084C5" w14:textId="7B6F026C" w:rsidR="001E285D" w:rsidRPr="00F81095" w:rsidRDefault="00AE60C7" w:rsidP="001E285D">
      <w:pPr>
        <w:spacing w:line="360" w:lineRule="auto"/>
        <w:ind w:firstLine="720"/>
        <w:jc w:val="center"/>
        <w:rPr>
          <w:rFonts w:ascii="Times New Roman" w:hAnsi="Times New Roman" w:cs="Times New Roman"/>
        </w:rPr>
      </w:pPr>
      <w:r>
        <w:rPr>
          <w:rFonts w:ascii="Times New Roman" w:hAnsi="Times New Roman" w:cs="Times New Roman"/>
          <w:noProof/>
        </w:rPr>
        <w:drawing>
          <wp:inline distT="0" distB="0" distL="0" distR="0" wp14:anchorId="6CBCEDA1" wp14:editId="3BA2674C">
            <wp:extent cx="5943600" cy="2731135"/>
            <wp:effectExtent l="0" t="0" r="0" b="0"/>
            <wp:docPr id="1194700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0006" name="Picture 11947000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731135"/>
                    </a:xfrm>
                    <a:prstGeom prst="rect">
                      <a:avLst/>
                    </a:prstGeom>
                  </pic:spPr>
                </pic:pic>
              </a:graphicData>
            </a:graphic>
          </wp:inline>
        </w:drawing>
      </w:r>
    </w:p>
    <w:p w14:paraId="3F38A644" w14:textId="77777777" w:rsidR="00AE60C7" w:rsidRPr="001E285D" w:rsidRDefault="00AE60C7" w:rsidP="00AE60C7">
      <w:pPr>
        <w:spacing w:line="360" w:lineRule="auto"/>
        <w:ind w:firstLine="720"/>
        <w:jc w:val="center"/>
        <w:rPr>
          <w:rFonts w:ascii="Times New Roman" w:hAnsi="Times New Roman" w:cs="Times New Roman"/>
          <w:lang w:val="bg-BG"/>
        </w:rPr>
      </w:pPr>
      <w:r w:rsidRPr="001E285D">
        <w:rPr>
          <w:rFonts w:ascii="Times New Roman" w:hAnsi="Times New Roman" w:cs="Times New Roman"/>
        </w:rPr>
        <w:t>Source: Own calculations</w:t>
      </w:r>
    </w:p>
    <w:p w14:paraId="4C33BD2B" w14:textId="1D9E2630" w:rsidR="00F81095" w:rsidRDefault="00AE60C7" w:rsidP="00AE60C7">
      <w:pPr>
        <w:spacing w:line="360" w:lineRule="auto"/>
        <w:ind w:firstLine="720"/>
        <w:jc w:val="both"/>
        <w:rPr>
          <w:rFonts w:ascii="Times New Roman" w:hAnsi="Times New Roman" w:cs="Times New Roman"/>
          <w:lang w:val="bg-BG"/>
        </w:rPr>
      </w:pPr>
      <w:r w:rsidRPr="00AE60C7">
        <w:rPr>
          <w:rFonts w:ascii="Times New Roman" w:hAnsi="Times New Roman" w:cs="Times New Roman"/>
        </w:rPr>
        <w:t>Environmental efficiency also shows differences, but with slower dynamics. Holdings that apply sustainable practices such as cover crops, minimum tillage, and integrated pest management achieve higher values of the environmental coefficient.</w:t>
      </w:r>
    </w:p>
    <w:p w14:paraId="37EE341A" w14:textId="22A5DAFA" w:rsidR="00AE60C7" w:rsidRDefault="00AE60C7" w:rsidP="00AE60C7">
      <w:pPr>
        <w:spacing w:line="360" w:lineRule="auto"/>
        <w:ind w:firstLine="720"/>
        <w:jc w:val="center"/>
        <w:rPr>
          <w:rFonts w:ascii="Times New Roman" w:hAnsi="Times New Roman" w:cs="Times New Roman"/>
          <w:lang w:val="bg-BG"/>
        </w:rPr>
      </w:pPr>
      <w:r w:rsidRPr="00AE60C7">
        <w:rPr>
          <w:rFonts w:ascii="Times New Roman" w:hAnsi="Times New Roman" w:cs="Times New Roman"/>
        </w:rPr>
        <w:t>Figure 12: Dynamics of environmental efficiency of agricultural holdings according to production specialization (2007–2023)</w:t>
      </w:r>
    </w:p>
    <w:p w14:paraId="3B33C458" w14:textId="39D81947" w:rsidR="00AE60C7" w:rsidRPr="00CF6029" w:rsidRDefault="00CF6029" w:rsidP="00AE60C7">
      <w:pPr>
        <w:spacing w:line="360" w:lineRule="auto"/>
        <w:ind w:firstLine="720"/>
        <w:jc w:val="center"/>
        <w:rPr>
          <w:rFonts w:ascii="Times New Roman" w:hAnsi="Times New Roman" w:cs="Times New Roman"/>
        </w:rPr>
      </w:pPr>
      <w:r>
        <w:rPr>
          <w:rFonts w:ascii="Times New Roman" w:hAnsi="Times New Roman" w:cs="Times New Roman"/>
          <w:noProof/>
        </w:rPr>
        <w:lastRenderedPageBreak/>
        <w:drawing>
          <wp:inline distT="0" distB="0" distL="0" distR="0" wp14:anchorId="324E994D" wp14:editId="08252490">
            <wp:extent cx="5943600" cy="2501265"/>
            <wp:effectExtent l="0" t="0" r="0" b="0"/>
            <wp:docPr id="9722921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92110" name="Picture 9722921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501265"/>
                    </a:xfrm>
                    <a:prstGeom prst="rect">
                      <a:avLst/>
                    </a:prstGeom>
                  </pic:spPr>
                </pic:pic>
              </a:graphicData>
            </a:graphic>
          </wp:inline>
        </w:drawing>
      </w:r>
    </w:p>
    <w:p w14:paraId="7D03C7E2" w14:textId="77777777" w:rsidR="00CF6029" w:rsidRPr="001E285D" w:rsidRDefault="00CF6029" w:rsidP="00CF6029">
      <w:pPr>
        <w:spacing w:line="360" w:lineRule="auto"/>
        <w:ind w:firstLine="720"/>
        <w:jc w:val="center"/>
        <w:rPr>
          <w:rFonts w:ascii="Times New Roman" w:hAnsi="Times New Roman" w:cs="Times New Roman"/>
          <w:lang w:val="bg-BG"/>
        </w:rPr>
      </w:pPr>
      <w:r w:rsidRPr="001E285D">
        <w:rPr>
          <w:rFonts w:ascii="Times New Roman" w:hAnsi="Times New Roman" w:cs="Times New Roman"/>
        </w:rPr>
        <w:t>Source: Own calculations</w:t>
      </w:r>
    </w:p>
    <w:p w14:paraId="2EFDA8FA" w14:textId="50575CA4" w:rsidR="00A7419E" w:rsidRDefault="00CF6029" w:rsidP="00CF6029">
      <w:pPr>
        <w:spacing w:line="360" w:lineRule="auto"/>
        <w:ind w:firstLine="720"/>
        <w:jc w:val="both"/>
        <w:rPr>
          <w:rFonts w:ascii="Times New Roman" w:hAnsi="Times New Roman" w:cs="Times New Roman"/>
          <w:lang w:val="bg-BG"/>
        </w:rPr>
      </w:pPr>
      <w:r w:rsidRPr="00CF6029">
        <w:rPr>
          <w:rFonts w:ascii="Times New Roman" w:hAnsi="Times New Roman" w:cs="Times New Roman"/>
        </w:rPr>
        <w:t>The results from the case studies support the second research hypothesis that the implementation of specific sustainable practices can simultaneously increase the environmental and economic efficiency of farms. The analysis of environmental efficiency in the three case study farms shows that the transition from a conventional to a sustainable production model leads to a reduction in environmental pressure while maintaining or even improving economic performance. The sensitivity test of the indicators confirms that the results are robust under moderate variations in environmental pressure.</w:t>
      </w:r>
    </w:p>
    <w:p w14:paraId="41A80282" w14:textId="7AA6F4E4" w:rsidR="00CF6029" w:rsidRDefault="00CF6029" w:rsidP="00CF6029">
      <w:pPr>
        <w:spacing w:line="360" w:lineRule="auto"/>
        <w:ind w:firstLine="720"/>
        <w:jc w:val="center"/>
        <w:rPr>
          <w:rFonts w:ascii="Times New Roman" w:hAnsi="Times New Roman" w:cs="Times New Roman"/>
          <w:lang w:val="bg-BG"/>
        </w:rPr>
      </w:pPr>
      <w:r w:rsidRPr="00CF6029">
        <w:rPr>
          <w:rFonts w:ascii="Times New Roman" w:hAnsi="Times New Roman" w:cs="Times New Roman"/>
        </w:rPr>
        <w:t>Table 27. Results of the sensitivity test of environmental efficiency indicators under variation of environmental pressure (±</w:t>
      </w:r>
      <w:proofErr w:type="spellStart"/>
      <w:r w:rsidRPr="00CF6029">
        <w:rPr>
          <w:rFonts w:ascii="Times New Roman" w:hAnsi="Times New Roman" w:cs="Times New Roman"/>
        </w:rPr>
        <w:t>δEI</w:t>
      </w:r>
      <w:proofErr w:type="spellEnd"/>
      <w:r w:rsidRPr="00CF6029">
        <w:rPr>
          <w:rFonts w:ascii="Times New Roman" w:hAnsi="Times New Roman" w:cs="Times New Roman"/>
        </w:rPr>
        <w:t>) — by case study</w:t>
      </w:r>
    </w:p>
    <w:tbl>
      <w:tblPr>
        <w:tblW w:w="6860" w:type="dxa"/>
        <w:jc w:val="center"/>
        <w:tblLook w:val="04A0" w:firstRow="1" w:lastRow="0" w:firstColumn="1" w:lastColumn="0" w:noHBand="0" w:noVBand="1"/>
      </w:tblPr>
      <w:tblGrid>
        <w:gridCol w:w="1453"/>
        <w:gridCol w:w="1412"/>
        <w:gridCol w:w="2312"/>
        <w:gridCol w:w="1683"/>
      </w:tblGrid>
      <w:tr w:rsidR="00CF6029" w:rsidRPr="00CF6029" w14:paraId="731ECF2E" w14:textId="77777777" w:rsidTr="00CF6029">
        <w:trPr>
          <w:trHeight w:val="1572"/>
          <w:jc w:val="center"/>
        </w:trPr>
        <w:tc>
          <w:tcPr>
            <w:tcW w:w="1460" w:type="dxa"/>
            <w:tcBorders>
              <w:top w:val="single" w:sz="8" w:space="0" w:color="000000"/>
              <w:left w:val="single" w:sz="8" w:space="0" w:color="000000"/>
              <w:bottom w:val="single" w:sz="8" w:space="0" w:color="000000"/>
              <w:right w:val="single" w:sz="8" w:space="0" w:color="000000"/>
            </w:tcBorders>
            <w:vAlign w:val="center"/>
            <w:hideMark/>
          </w:tcPr>
          <w:p w14:paraId="6A7BB596" w14:textId="77777777" w:rsidR="00CF6029" w:rsidRPr="00CF6029" w:rsidRDefault="00CF6029" w:rsidP="00CF6029">
            <w:pPr>
              <w:spacing w:after="0" w:line="240" w:lineRule="auto"/>
              <w:jc w:val="center"/>
              <w:rPr>
                <w:rFonts w:ascii="Times New Roman" w:eastAsia="Times New Roman" w:hAnsi="Times New Roman" w:cs="Times New Roman"/>
                <w:b/>
                <w:bCs/>
                <w:color w:val="1F1F1F"/>
                <w:kern w:val="0"/>
                <w14:ligatures w14:val="none"/>
              </w:rPr>
            </w:pPr>
            <w:r w:rsidRPr="00CF6029">
              <w:rPr>
                <w:rFonts w:ascii="Times New Roman" w:eastAsia="Times New Roman" w:hAnsi="Times New Roman" w:cs="Times New Roman"/>
                <w:b/>
                <w:bCs/>
                <w:color w:val="1F1F1F"/>
                <w:kern w:val="0"/>
                <w14:ligatures w14:val="none"/>
              </w:rPr>
              <w:t>Case Study</w:t>
            </w:r>
          </w:p>
        </w:tc>
        <w:tc>
          <w:tcPr>
            <w:tcW w:w="1420" w:type="dxa"/>
            <w:tcBorders>
              <w:top w:val="single" w:sz="8" w:space="0" w:color="000000"/>
              <w:left w:val="nil"/>
              <w:bottom w:val="single" w:sz="8" w:space="0" w:color="000000"/>
              <w:right w:val="single" w:sz="8" w:space="0" w:color="000000"/>
            </w:tcBorders>
            <w:vAlign w:val="center"/>
            <w:hideMark/>
          </w:tcPr>
          <w:p w14:paraId="26F23926" w14:textId="77777777" w:rsidR="00CF6029" w:rsidRPr="00CF6029" w:rsidRDefault="00CF6029" w:rsidP="00CF6029">
            <w:pPr>
              <w:spacing w:after="0" w:line="240" w:lineRule="auto"/>
              <w:jc w:val="center"/>
              <w:rPr>
                <w:rFonts w:ascii="Times New Roman" w:eastAsia="Times New Roman" w:hAnsi="Times New Roman" w:cs="Times New Roman"/>
                <w:b/>
                <w:bCs/>
                <w:color w:val="1F1F1F"/>
                <w:kern w:val="0"/>
                <w14:ligatures w14:val="none"/>
              </w:rPr>
            </w:pPr>
            <w:proofErr w:type="spellStart"/>
            <w:r w:rsidRPr="00CF6029">
              <w:rPr>
                <w:rFonts w:ascii="Times New Roman" w:eastAsia="Times New Roman" w:hAnsi="Times New Roman" w:cs="Times New Roman"/>
                <w:b/>
                <w:bCs/>
                <w:color w:val="1F1F1F"/>
                <w:kern w:val="0"/>
                <w14:ligatures w14:val="none"/>
              </w:rPr>
              <w:t>δEI</w:t>
            </w:r>
            <w:proofErr w:type="spellEnd"/>
            <w:r w:rsidRPr="00CF6029">
              <w:rPr>
                <w:rFonts w:ascii="Times New Roman" w:eastAsia="Times New Roman" w:hAnsi="Times New Roman" w:cs="Times New Roman"/>
                <w:b/>
                <w:bCs/>
                <w:color w:val="1F1F1F"/>
                <w:kern w:val="0"/>
                <w14:ligatures w14:val="none"/>
              </w:rPr>
              <w:t xml:space="preserve"> (%)</w:t>
            </w:r>
          </w:p>
        </w:tc>
        <w:tc>
          <w:tcPr>
            <w:tcW w:w="2320" w:type="dxa"/>
            <w:tcBorders>
              <w:top w:val="single" w:sz="8" w:space="0" w:color="000000"/>
              <w:left w:val="nil"/>
              <w:bottom w:val="single" w:sz="8" w:space="0" w:color="000000"/>
              <w:right w:val="single" w:sz="8" w:space="0" w:color="000000"/>
            </w:tcBorders>
            <w:vAlign w:val="center"/>
            <w:hideMark/>
          </w:tcPr>
          <w:p w14:paraId="358731BC" w14:textId="77777777" w:rsidR="00CF6029" w:rsidRPr="00CF6029" w:rsidRDefault="00CF6029" w:rsidP="00CF6029">
            <w:pPr>
              <w:spacing w:after="0" w:line="240" w:lineRule="auto"/>
              <w:jc w:val="center"/>
              <w:rPr>
                <w:rFonts w:ascii="Times New Roman" w:eastAsia="Times New Roman" w:hAnsi="Times New Roman" w:cs="Times New Roman"/>
                <w:b/>
                <w:bCs/>
                <w:color w:val="1F1F1F"/>
                <w:kern w:val="0"/>
                <w14:ligatures w14:val="none"/>
              </w:rPr>
            </w:pPr>
            <w:r w:rsidRPr="00CF6029">
              <w:rPr>
                <w:rFonts w:ascii="Times New Roman" w:eastAsia="Times New Roman" w:hAnsi="Times New Roman" w:cs="Times New Roman"/>
                <w:b/>
                <w:bCs/>
                <w:color w:val="1F1F1F"/>
                <w:kern w:val="0"/>
                <w14:ligatures w14:val="none"/>
              </w:rPr>
              <w:t xml:space="preserve">Preservation of the sign of (EEs - </w:t>
            </w:r>
            <w:proofErr w:type="spellStart"/>
            <w:r w:rsidRPr="00CF6029">
              <w:rPr>
                <w:rFonts w:ascii="Times New Roman" w:eastAsia="Times New Roman" w:hAnsi="Times New Roman" w:cs="Times New Roman"/>
                <w:b/>
                <w:bCs/>
                <w:color w:val="1F1F1F"/>
                <w:kern w:val="0"/>
                <w14:ligatures w14:val="none"/>
              </w:rPr>
              <w:t>EEc</w:t>
            </w:r>
            <w:proofErr w:type="spellEnd"/>
            <w:r w:rsidRPr="00CF6029">
              <w:rPr>
                <w:rFonts w:ascii="Times New Roman" w:eastAsia="Times New Roman" w:hAnsi="Times New Roman" w:cs="Times New Roman"/>
                <w:b/>
                <w:bCs/>
                <w:color w:val="1F1F1F"/>
                <w:kern w:val="0"/>
                <w14:ligatures w14:val="none"/>
              </w:rPr>
              <w:t>)</w:t>
            </w:r>
          </w:p>
        </w:tc>
        <w:tc>
          <w:tcPr>
            <w:tcW w:w="1660" w:type="dxa"/>
            <w:tcBorders>
              <w:top w:val="single" w:sz="8" w:space="0" w:color="000000"/>
              <w:left w:val="nil"/>
              <w:bottom w:val="single" w:sz="8" w:space="0" w:color="000000"/>
              <w:right w:val="single" w:sz="8" w:space="0" w:color="000000"/>
            </w:tcBorders>
            <w:vAlign w:val="center"/>
            <w:hideMark/>
          </w:tcPr>
          <w:p w14:paraId="1E8BC55A" w14:textId="77777777" w:rsidR="00CF6029" w:rsidRPr="00CF6029" w:rsidRDefault="00CF6029" w:rsidP="00CF6029">
            <w:pPr>
              <w:spacing w:after="0" w:line="240" w:lineRule="auto"/>
              <w:jc w:val="center"/>
              <w:rPr>
                <w:rFonts w:ascii="Times New Roman" w:eastAsia="Times New Roman" w:hAnsi="Times New Roman" w:cs="Times New Roman"/>
                <w:b/>
                <w:bCs/>
                <w:color w:val="1F1F1F"/>
                <w:kern w:val="0"/>
                <w14:ligatures w14:val="none"/>
              </w:rPr>
            </w:pPr>
            <w:r w:rsidRPr="00CF6029">
              <w:rPr>
                <w:rFonts w:ascii="Times New Roman" w:eastAsia="Times New Roman" w:hAnsi="Times New Roman" w:cs="Times New Roman"/>
                <w:b/>
                <w:bCs/>
                <w:color w:val="1F1F1F"/>
                <w:kern w:val="0"/>
                <w14:ligatures w14:val="none"/>
              </w:rPr>
              <w:t>Interpretation</w:t>
            </w:r>
          </w:p>
        </w:tc>
      </w:tr>
      <w:tr w:rsidR="00CF6029" w:rsidRPr="00CF6029" w14:paraId="52E19435" w14:textId="77777777" w:rsidTr="00CF6029">
        <w:trPr>
          <w:trHeight w:val="636"/>
          <w:jc w:val="center"/>
        </w:trPr>
        <w:tc>
          <w:tcPr>
            <w:tcW w:w="1460" w:type="dxa"/>
            <w:tcBorders>
              <w:top w:val="nil"/>
              <w:left w:val="single" w:sz="8" w:space="0" w:color="000000"/>
              <w:bottom w:val="single" w:sz="8" w:space="0" w:color="000000"/>
              <w:right w:val="single" w:sz="8" w:space="0" w:color="000000"/>
            </w:tcBorders>
            <w:vAlign w:val="center"/>
            <w:hideMark/>
          </w:tcPr>
          <w:p w14:paraId="7FFF0E78"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t>1</w:t>
            </w:r>
          </w:p>
        </w:tc>
        <w:tc>
          <w:tcPr>
            <w:tcW w:w="1420" w:type="dxa"/>
            <w:tcBorders>
              <w:top w:val="nil"/>
              <w:left w:val="nil"/>
              <w:bottom w:val="single" w:sz="8" w:space="0" w:color="000000"/>
              <w:right w:val="single" w:sz="8" w:space="0" w:color="000000"/>
            </w:tcBorders>
            <w:vAlign w:val="center"/>
            <w:hideMark/>
          </w:tcPr>
          <w:p w14:paraId="76DB0E0C"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t>±10</w:t>
            </w:r>
          </w:p>
        </w:tc>
        <w:tc>
          <w:tcPr>
            <w:tcW w:w="2320" w:type="dxa"/>
            <w:tcBorders>
              <w:top w:val="nil"/>
              <w:left w:val="nil"/>
              <w:bottom w:val="single" w:sz="8" w:space="0" w:color="000000"/>
              <w:right w:val="single" w:sz="8" w:space="0" w:color="000000"/>
            </w:tcBorders>
            <w:vAlign w:val="center"/>
            <w:hideMark/>
          </w:tcPr>
          <w:p w14:paraId="4CB6D752"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t>Yes</w:t>
            </w:r>
          </w:p>
        </w:tc>
        <w:tc>
          <w:tcPr>
            <w:tcW w:w="1660" w:type="dxa"/>
            <w:tcBorders>
              <w:top w:val="nil"/>
              <w:left w:val="nil"/>
              <w:bottom w:val="single" w:sz="8" w:space="0" w:color="000000"/>
              <w:right w:val="single" w:sz="8" w:space="0" w:color="000000"/>
            </w:tcBorders>
            <w:vAlign w:val="center"/>
            <w:hideMark/>
          </w:tcPr>
          <w:p w14:paraId="1D6F5376"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t>Reliable result</w:t>
            </w:r>
          </w:p>
        </w:tc>
      </w:tr>
      <w:tr w:rsidR="00CF6029" w:rsidRPr="00CF6029" w14:paraId="6CC0A0E8" w14:textId="77777777" w:rsidTr="00CF6029">
        <w:trPr>
          <w:trHeight w:val="1008"/>
          <w:jc w:val="center"/>
        </w:trPr>
        <w:tc>
          <w:tcPr>
            <w:tcW w:w="1460" w:type="dxa"/>
            <w:tcBorders>
              <w:top w:val="nil"/>
              <w:left w:val="single" w:sz="8" w:space="0" w:color="000000"/>
              <w:bottom w:val="single" w:sz="8" w:space="0" w:color="000000"/>
              <w:right w:val="single" w:sz="8" w:space="0" w:color="000000"/>
            </w:tcBorders>
            <w:vAlign w:val="center"/>
            <w:hideMark/>
          </w:tcPr>
          <w:p w14:paraId="32FF93E4"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t>2</w:t>
            </w:r>
          </w:p>
        </w:tc>
        <w:tc>
          <w:tcPr>
            <w:tcW w:w="1420" w:type="dxa"/>
            <w:tcBorders>
              <w:top w:val="nil"/>
              <w:left w:val="nil"/>
              <w:bottom w:val="single" w:sz="8" w:space="0" w:color="000000"/>
              <w:right w:val="single" w:sz="8" w:space="0" w:color="000000"/>
            </w:tcBorders>
            <w:vAlign w:val="center"/>
            <w:hideMark/>
          </w:tcPr>
          <w:p w14:paraId="11D9551E"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t>±15</w:t>
            </w:r>
          </w:p>
        </w:tc>
        <w:tc>
          <w:tcPr>
            <w:tcW w:w="2320" w:type="dxa"/>
            <w:tcBorders>
              <w:top w:val="nil"/>
              <w:left w:val="nil"/>
              <w:bottom w:val="single" w:sz="8" w:space="0" w:color="000000"/>
              <w:right w:val="single" w:sz="8" w:space="0" w:color="000000"/>
            </w:tcBorders>
            <w:vAlign w:val="center"/>
            <w:hideMark/>
          </w:tcPr>
          <w:p w14:paraId="59A317B8"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t>Yes</w:t>
            </w:r>
          </w:p>
        </w:tc>
        <w:tc>
          <w:tcPr>
            <w:tcW w:w="1660" w:type="dxa"/>
            <w:tcBorders>
              <w:top w:val="nil"/>
              <w:left w:val="nil"/>
              <w:bottom w:val="single" w:sz="8" w:space="0" w:color="000000"/>
              <w:right w:val="single" w:sz="8" w:space="0" w:color="000000"/>
            </w:tcBorders>
            <w:vAlign w:val="center"/>
            <w:hideMark/>
          </w:tcPr>
          <w:p w14:paraId="60D1D40B"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t>High interpretative stability</w:t>
            </w:r>
          </w:p>
        </w:tc>
      </w:tr>
      <w:tr w:rsidR="00CF6029" w:rsidRPr="00CF6029" w14:paraId="1F71323B" w14:textId="77777777" w:rsidTr="00CF6029">
        <w:trPr>
          <w:trHeight w:val="1620"/>
          <w:jc w:val="center"/>
        </w:trPr>
        <w:tc>
          <w:tcPr>
            <w:tcW w:w="1460" w:type="dxa"/>
            <w:tcBorders>
              <w:top w:val="nil"/>
              <w:left w:val="single" w:sz="8" w:space="0" w:color="000000"/>
              <w:bottom w:val="single" w:sz="8" w:space="0" w:color="000000"/>
              <w:right w:val="single" w:sz="8" w:space="0" w:color="000000"/>
            </w:tcBorders>
            <w:vAlign w:val="center"/>
            <w:hideMark/>
          </w:tcPr>
          <w:p w14:paraId="34E9C83D"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lastRenderedPageBreak/>
              <w:t>3</w:t>
            </w:r>
          </w:p>
        </w:tc>
        <w:tc>
          <w:tcPr>
            <w:tcW w:w="1420" w:type="dxa"/>
            <w:tcBorders>
              <w:top w:val="nil"/>
              <w:left w:val="nil"/>
              <w:bottom w:val="single" w:sz="8" w:space="0" w:color="000000"/>
              <w:right w:val="single" w:sz="8" w:space="0" w:color="000000"/>
            </w:tcBorders>
            <w:vAlign w:val="center"/>
            <w:hideMark/>
          </w:tcPr>
          <w:p w14:paraId="07B38BA1"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t>±20</w:t>
            </w:r>
          </w:p>
        </w:tc>
        <w:tc>
          <w:tcPr>
            <w:tcW w:w="2320" w:type="dxa"/>
            <w:tcBorders>
              <w:top w:val="nil"/>
              <w:left w:val="nil"/>
              <w:bottom w:val="single" w:sz="8" w:space="0" w:color="000000"/>
              <w:right w:val="single" w:sz="8" w:space="0" w:color="000000"/>
            </w:tcBorders>
            <w:vAlign w:val="center"/>
            <w:hideMark/>
          </w:tcPr>
          <w:p w14:paraId="0E004D33"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t>Yes</w:t>
            </w:r>
          </w:p>
        </w:tc>
        <w:tc>
          <w:tcPr>
            <w:tcW w:w="1660" w:type="dxa"/>
            <w:tcBorders>
              <w:top w:val="nil"/>
              <w:left w:val="nil"/>
              <w:bottom w:val="single" w:sz="8" w:space="0" w:color="000000"/>
              <w:right w:val="single" w:sz="8" w:space="0" w:color="000000"/>
            </w:tcBorders>
            <w:vAlign w:val="center"/>
            <w:hideMark/>
          </w:tcPr>
          <w:p w14:paraId="3C9E495C" w14:textId="77777777" w:rsidR="00CF6029" w:rsidRPr="00CF6029" w:rsidRDefault="00CF6029" w:rsidP="00CF6029">
            <w:pPr>
              <w:spacing w:after="0" w:line="240" w:lineRule="auto"/>
              <w:jc w:val="center"/>
              <w:rPr>
                <w:rFonts w:ascii="Times New Roman" w:eastAsia="Times New Roman" w:hAnsi="Times New Roman" w:cs="Times New Roman"/>
                <w:color w:val="1F1F1F"/>
                <w:kern w:val="0"/>
                <w14:ligatures w14:val="none"/>
              </w:rPr>
            </w:pPr>
            <w:r w:rsidRPr="00CF6029">
              <w:rPr>
                <w:rFonts w:ascii="Times New Roman" w:eastAsia="Times New Roman" w:hAnsi="Times New Roman" w:cs="Times New Roman"/>
                <w:color w:val="1F1F1F"/>
                <w:kern w:val="0"/>
                <w14:ligatures w14:val="none"/>
              </w:rPr>
              <w:t>Sustainable model remains significantly more efficient</w:t>
            </w:r>
          </w:p>
        </w:tc>
      </w:tr>
    </w:tbl>
    <w:p w14:paraId="2E913BE6" w14:textId="77777777" w:rsidR="00CF6029" w:rsidRPr="001E285D" w:rsidRDefault="00CF6029" w:rsidP="00CF6029">
      <w:pPr>
        <w:spacing w:line="360" w:lineRule="auto"/>
        <w:jc w:val="center"/>
        <w:rPr>
          <w:rFonts w:ascii="Times New Roman" w:hAnsi="Times New Roman" w:cs="Times New Roman"/>
          <w:lang w:val="bg-BG"/>
        </w:rPr>
      </w:pPr>
      <w:r w:rsidRPr="001E285D">
        <w:rPr>
          <w:rFonts w:ascii="Times New Roman" w:hAnsi="Times New Roman" w:cs="Times New Roman"/>
        </w:rPr>
        <w:t>Source: Own calculations</w:t>
      </w:r>
    </w:p>
    <w:p w14:paraId="226FDD9C" w14:textId="6E3459F5" w:rsidR="006D570B" w:rsidRDefault="006D570B" w:rsidP="00BC571D">
      <w:pPr>
        <w:spacing w:line="360" w:lineRule="auto"/>
        <w:ind w:firstLine="720"/>
        <w:jc w:val="both"/>
        <w:rPr>
          <w:rFonts w:ascii="Times New Roman" w:hAnsi="Times New Roman" w:cs="Times New Roman"/>
        </w:rPr>
      </w:pPr>
      <w:r w:rsidRPr="006D570B">
        <w:rPr>
          <w:rFonts w:ascii="Times New Roman" w:hAnsi="Times New Roman" w:cs="Times New Roman"/>
        </w:rPr>
        <w:t>These data are of critical importance for policy, as they demonstrate that the Green Deal objectives for reducing fertilizer and pesticide use can be achieved without significant productivity losses, provided that appropriate sustainable practices are applied. Across the three case-study farms, the implementation of specific sustainable practices (no-till, cover crops, inhibited fertilizers, drip irrigation, and integrated pest management) leads to measurable positive effects on both economic and environmental indicators. In the industrial grain farm, no-till and cover crops provide higher yields with lower fuel and fertilizer costs. In the livestock farm, the application of nitrogen-fixing cover crops reduces the need for mineral fertilizers and improves soil fertility. In the perennial crop farm, drip irrigation and inter-row grassing improve water efficiency and reduce soil erosion. The aggregated results from the case studies show that sustainable practices are effective in both economic and environmental dimensions.</w:t>
      </w:r>
      <w:r w:rsidR="00BC571D">
        <w:rPr>
          <w:rFonts w:ascii="Times New Roman" w:hAnsi="Times New Roman" w:cs="Times New Roman"/>
        </w:rPr>
        <w:t xml:space="preserve"> </w:t>
      </w:r>
      <w:r w:rsidR="00BC571D" w:rsidRPr="00BC571D">
        <w:rPr>
          <w:rFonts w:ascii="Times New Roman" w:hAnsi="Times New Roman" w:cs="Times New Roman"/>
        </w:rPr>
        <w:t>The results from Case Study 1 are presented in the following table:</w:t>
      </w:r>
    </w:p>
    <w:p w14:paraId="714B33DB" w14:textId="21AC30B1" w:rsidR="00BC571D" w:rsidRDefault="00BC571D" w:rsidP="00BC571D">
      <w:pPr>
        <w:spacing w:line="360" w:lineRule="auto"/>
        <w:ind w:firstLine="720"/>
        <w:jc w:val="center"/>
        <w:rPr>
          <w:rFonts w:ascii="Times New Roman" w:hAnsi="Times New Roman" w:cs="Times New Roman"/>
        </w:rPr>
      </w:pPr>
      <w:r w:rsidRPr="00BC571D">
        <w:rPr>
          <w:rFonts w:ascii="Times New Roman" w:hAnsi="Times New Roman" w:cs="Times New Roman"/>
        </w:rPr>
        <w:t>Table 24. Values of environmental efficiency indicators under conventional and sustainable production models — Case 1: Industrial grain farm, Northeast region (BG33)"</w:t>
      </w:r>
    </w:p>
    <w:tbl>
      <w:tblPr>
        <w:tblW w:w="6860" w:type="dxa"/>
        <w:jc w:val="center"/>
        <w:tblLook w:val="04A0" w:firstRow="1" w:lastRow="0" w:firstColumn="1" w:lastColumn="0" w:noHBand="0" w:noVBand="1"/>
      </w:tblPr>
      <w:tblGrid>
        <w:gridCol w:w="1434"/>
        <w:gridCol w:w="1590"/>
        <w:gridCol w:w="2236"/>
        <w:gridCol w:w="1600"/>
      </w:tblGrid>
      <w:tr w:rsidR="00BC571D" w:rsidRPr="00BC571D" w14:paraId="3FCC60DE" w14:textId="77777777" w:rsidTr="00BC571D">
        <w:trPr>
          <w:trHeight w:val="624"/>
          <w:jc w:val="center"/>
        </w:trPr>
        <w:tc>
          <w:tcPr>
            <w:tcW w:w="1434" w:type="dxa"/>
            <w:tcBorders>
              <w:top w:val="single" w:sz="4" w:space="0" w:color="auto"/>
              <w:left w:val="single" w:sz="4" w:space="0" w:color="auto"/>
              <w:bottom w:val="single" w:sz="4" w:space="0" w:color="auto"/>
              <w:right w:val="single" w:sz="4" w:space="0" w:color="auto"/>
            </w:tcBorders>
            <w:vAlign w:val="center"/>
            <w:hideMark/>
          </w:tcPr>
          <w:p w14:paraId="6C7F219E" w14:textId="77777777" w:rsidR="00BC571D" w:rsidRPr="00BC571D" w:rsidRDefault="00BC571D" w:rsidP="00BC571D">
            <w:pPr>
              <w:spacing w:after="0" w:line="240" w:lineRule="auto"/>
              <w:jc w:val="center"/>
              <w:rPr>
                <w:rFonts w:ascii="Times New Roman" w:eastAsia="Times New Roman" w:hAnsi="Times New Roman" w:cs="Times New Roman"/>
                <w:b/>
                <w:bCs/>
                <w:color w:val="1F1F1F"/>
                <w:kern w:val="0"/>
                <w14:ligatures w14:val="none"/>
              </w:rPr>
            </w:pPr>
            <w:r w:rsidRPr="00BC571D">
              <w:rPr>
                <w:rFonts w:ascii="Times New Roman" w:eastAsia="Times New Roman" w:hAnsi="Times New Roman" w:cs="Times New Roman"/>
                <w:b/>
                <w:bCs/>
                <w:color w:val="1F1F1F"/>
                <w:kern w:val="0"/>
                <w14:ligatures w14:val="none"/>
              </w:rPr>
              <w:t>Indicator</w:t>
            </w:r>
          </w:p>
        </w:tc>
        <w:tc>
          <w:tcPr>
            <w:tcW w:w="1590" w:type="dxa"/>
            <w:tcBorders>
              <w:top w:val="single" w:sz="4" w:space="0" w:color="auto"/>
              <w:left w:val="nil"/>
              <w:bottom w:val="single" w:sz="4" w:space="0" w:color="auto"/>
              <w:right w:val="single" w:sz="4" w:space="0" w:color="auto"/>
            </w:tcBorders>
            <w:vAlign w:val="center"/>
            <w:hideMark/>
          </w:tcPr>
          <w:p w14:paraId="643991A6" w14:textId="77777777" w:rsidR="00BC571D" w:rsidRPr="00BC571D" w:rsidRDefault="00BC571D" w:rsidP="00BC571D">
            <w:pPr>
              <w:spacing w:after="0" w:line="240" w:lineRule="auto"/>
              <w:jc w:val="center"/>
              <w:rPr>
                <w:rFonts w:ascii="Times New Roman" w:eastAsia="Times New Roman" w:hAnsi="Times New Roman" w:cs="Times New Roman"/>
                <w:b/>
                <w:bCs/>
                <w:color w:val="1F1F1F"/>
                <w:kern w:val="0"/>
                <w14:ligatures w14:val="none"/>
              </w:rPr>
            </w:pPr>
            <w:r w:rsidRPr="00BC571D">
              <w:rPr>
                <w:rFonts w:ascii="Times New Roman" w:eastAsia="Times New Roman" w:hAnsi="Times New Roman" w:cs="Times New Roman"/>
                <w:b/>
                <w:bCs/>
                <w:color w:val="1F1F1F"/>
                <w:kern w:val="0"/>
                <w14:ligatures w14:val="none"/>
              </w:rPr>
              <w:t>Conventional Model</w:t>
            </w:r>
          </w:p>
        </w:tc>
        <w:tc>
          <w:tcPr>
            <w:tcW w:w="2236" w:type="dxa"/>
            <w:tcBorders>
              <w:top w:val="single" w:sz="4" w:space="0" w:color="auto"/>
              <w:left w:val="nil"/>
              <w:bottom w:val="single" w:sz="4" w:space="0" w:color="auto"/>
              <w:right w:val="single" w:sz="4" w:space="0" w:color="auto"/>
            </w:tcBorders>
            <w:vAlign w:val="center"/>
            <w:hideMark/>
          </w:tcPr>
          <w:p w14:paraId="0F9572D6" w14:textId="77777777" w:rsidR="00BC571D" w:rsidRPr="00BC571D" w:rsidRDefault="00BC571D" w:rsidP="00BC571D">
            <w:pPr>
              <w:spacing w:after="0" w:line="240" w:lineRule="auto"/>
              <w:jc w:val="center"/>
              <w:rPr>
                <w:rFonts w:ascii="Times New Roman" w:eastAsia="Times New Roman" w:hAnsi="Times New Roman" w:cs="Times New Roman"/>
                <w:b/>
                <w:bCs/>
                <w:color w:val="1F1F1F"/>
                <w:kern w:val="0"/>
                <w14:ligatures w14:val="none"/>
              </w:rPr>
            </w:pPr>
            <w:r w:rsidRPr="00BC571D">
              <w:rPr>
                <w:rFonts w:ascii="Times New Roman" w:eastAsia="Times New Roman" w:hAnsi="Times New Roman" w:cs="Times New Roman"/>
                <w:b/>
                <w:bCs/>
                <w:color w:val="1F1F1F"/>
                <w:kern w:val="0"/>
                <w14:ligatures w14:val="none"/>
              </w:rPr>
              <w:t>Sustainable Model</w:t>
            </w:r>
          </w:p>
        </w:tc>
        <w:tc>
          <w:tcPr>
            <w:tcW w:w="1600" w:type="dxa"/>
            <w:tcBorders>
              <w:top w:val="single" w:sz="4" w:space="0" w:color="auto"/>
              <w:left w:val="nil"/>
              <w:bottom w:val="single" w:sz="4" w:space="0" w:color="auto"/>
              <w:right w:val="single" w:sz="4" w:space="0" w:color="auto"/>
            </w:tcBorders>
            <w:vAlign w:val="center"/>
            <w:hideMark/>
          </w:tcPr>
          <w:p w14:paraId="736333F0" w14:textId="77777777" w:rsidR="00BC571D" w:rsidRPr="00BC571D" w:rsidRDefault="00BC571D" w:rsidP="00BC571D">
            <w:pPr>
              <w:spacing w:after="0" w:line="240" w:lineRule="auto"/>
              <w:jc w:val="center"/>
              <w:rPr>
                <w:rFonts w:ascii="Times New Roman" w:eastAsia="Times New Roman" w:hAnsi="Times New Roman" w:cs="Times New Roman"/>
                <w:b/>
                <w:bCs/>
                <w:color w:val="1F1F1F"/>
                <w:kern w:val="0"/>
                <w14:ligatures w14:val="none"/>
              </w:rPr>
            </w:pPr>
            <w:r w:rsidRPr="00BC571D">
              <w:rPr>
                <w:rFonts w:ascii="Times New Roman" w:eastAsia="Times New Roman" w:hAnsi="Times New Roman" w:cs="Times New Roman"/>
                <w:b/>
                <w:bCs/>
                <w:color w:val="1F1F1F"/>
                <w:kern w:val="0"/>
                <w14:ligatures w14:val="none"/>
              </w:rPr>
              <w:t>Change (%)</w:t>
            </w:r>
          </w:p>
        </w:tc>
      </w:tr>
      <w:tr w:rsidR="00BC571D" w:rsidRPr="00BC571D" w14:paraId="7FB725AE" w14:textId="77777777" w:rsidTr="00BC571D">
        <w:trPr>
          <w:trHeight w:val="312"/>
          <w:jc w:val="center"/>
        </w:trPr>
        <w:tc>
          <w:tcPr>
            <w:tcW w:w="1434" w:type="dxa"/>
            <w:tcBorders>
              <w:top w:val="nil"/>
              <w:left w:val="single" w:sz="4" w:space="0" w:color="auto"/>
              <w:bottom w:val="single" w:sz="4" w:space="0" w:color="auto"/>
              <w:right w:val="single" w:sz="4" w:space="0" w:color="auto"/>
            </w:tcBorders>
            <w:vAlign w:val="center"/>
            <w:hideMark/>
          </w:tcPr>
          <w:p w14:paraId="1EAD0708"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N (kg/ha)</w:t>
            </w:r>
          </w:p>
        </w:tc>
        <w:tc>
          <w:tcPr>
            <w:tcW w:w="1590" w:type="dxa"/>
            <w:tcBorders>
              <w:top w:val="nil"/>
              <w:left w:val="nil"/>
              <w:bottom w:val="single" w:sz="4" w:space="0" w:color="auto"/>
              <w:right w:val="single" w:sz="4" w:space="0" w:color="auto"/>
            </w:tcBorders>
            <w:vAlign w:val="center"/>
            <w:hideMark/>
          </w:tcPr>
          <w:p w14:paraId="6EF38456"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185</w:t>
            </w:r>
          </w:p>
        </w:tc>
        <w:tc>
          <w:tcPr>
            <w:tcW w:w="2236" w:type="dxa"/>
            <w:tcBorders>
              <w:top w:val="nil"/>
              <w:left w:val="nil"/>
              <w:bottom w:val="single" w:sz="4" w:space="0" w:color="auto"/>
              <w:right w:val="single" w:sz="4" w:space="0" w:color="auto"/>
            </w:tcBorders>
            <w:vAlign w:val="center"/>
            <w:hideMark/>
          </w:tcPr>
          <w:p w14:paraId="0F28CD8F"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135</w:t>
            </w:r>
          </w:p>
        </w:tc>
        <w:tc>
          <w:tcPr>
            <w:tcW w:w="1600" w:type="dxa"/>
            <w:tcBorders>
              <w:top w:val="nil"/>
              <w:left w:val="nil"/>
              <w:bottom w:val="single" w:sz="4" w:space="0" w:color="auto"/>
              <w:right w:val="single" w:sz="4" w:space="0" w:color="auto"/>
            </w:tcBorders>
            <w:vAlign w:val="center"/>
            <w:hideMark/>
          </w:tcPr>
          <w:p w14:paraId="2B62933C"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-27.03</w:t>
            </w:r>
          </w:p>
        </w:tc>
      </w:tr>
      <w:tr w:rsidR="00BC571D" w:rsidRPr="00BC571D" w14:paraId="7811EE56" w14:textId="77777777" w:rsidTr="00BC571D">
        <w:trPr>
          <w:trHeight w:val="1008"/>
          <w:jc w:val="center"/>
        </w:trPr>
        <w:tc>
          <w:tcPr>
            <w:tcW w:w="1434" w:type="dxa"/>
            <w:tcBorders>
              <w:top w:val="nil"/>
              <w:left w:val="single" w:sz="4" w:space="0" w:color="auto"/>
              <w:bottom w:val="single" w:sz="4" w:space="0" w:color="auto"/>
              <w:right w:val="single" w:sz="4" w:space="0" w:color="auto"/>
            </w:tcBorders>
            <w:vAlign w:val="center"/>
            <w:hideMark/>
          </w:tcPr>
          <w:p w14:paraId="302D8FF4"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E (BGN/ha)</w:t>
            </w:r>
          </w:p>
        </w:tc>
        <w:tc>
          <w:tcPr>
            <w:tcW w:w="1590" w:type="dxa"/>
            <w:tcBorders>
              <w:top w:val="nil"/>
              <w:left w:val="nil"/>
              <w:bottom w:val="single" w:sz="4" w:space="0" w:color="auto"/>
              <w:right w:val="single" w:sz="4" w:space="0" w:color="auto"/>
            </w:tcBorders>
            <w:vAlign w:val="center"/>
            <w:hideMark/>
          </w:tcPr>
          <w:p w14:paraId="5EF85456"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310</w:t>
            </w:r>
          </w:p>
        </w:tc>
        <w:tc>
          <w:tcPr>
            <w:tcW w:w="2236" w:type="dxa"/>
            <w:tcBorders>
              <w:top w:val="nil"/>
              <w:left w:val="nil"/>
              <w:bottom w:val="single" w:sz="4" w:space="0" w:color="auto"/>
              <w:right w:val="single" w:sz="4" w:space="0" w:color="auto"/>
            </w:tcBorders>
            <w:vAlign w:val="center"/>
            <w:hideMark/>
          </w:tcPr>
          <w:p w14:paraId="77C85921"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270</w:t>
            </w:r>
          </w:p>
        </w:tc>
        <w:tc>
          <w:tcPr>
            <w:tcW w:w="1600" w:type="dxa"/>
            <w:tcBorders>
              <w:top w:val="nil"/>
              <w:left w:val="nil"/>
              <w:bottom w:val="single" w:sz="4" w:space="0" w:color="auto"/>
              <w:right w:val="single" w:sz="4" w:space="0" w:color="auto"/>
            </w:tcBorders>
            <w:vAlign w:val="center"/>
            <w:hideMark/>
          </w:tcPr>
          <w:p w14:paraId="5C104AC9"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-12.9</w:t>
            </w:r>
          </w:p>
        </w:tc>
      </w:tr>
      <w:tr w:rsidR="00BC571D" w:rsidRPr="00BC571D" w14:paraId="4E99B6C2" w14:textId="77777777" w:rsidTr="00BC571D">
        <w:trPr>
          <w:trHeight w:val="1620"/>
          <w:jc w:val="center"/>
        </w:trPr>
        <w:tc>
          <w:tcPr>
            <w:tcW w:w="1434" w:type="dxa"/>
            <w:tcBorders>
              <w:top w:val="nil"/>
              <w:left w:val="single" w:sz="4" w:space="0" w:color="auto"/>
              <w:bottom w:val="single" w:sz="4" w:space="0" w:color="auto"/>
              <w:right w:val="single" w:sz="4" w:space="0" w:color="auto"/>
            </w:tcBorders>
            <w:vAlign w:val="center"/>
            <w:hideMark/>
          </w:tcPr>
          <w:p w14:paraId="62F159F8"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CI (kg CO₂-eq/t)</w:t>
            </w:r>
          </w:p>
        </w:tc>
        <w:tc>
          <w:tcPr>
            <w:tcW w:w="1590" w:type="dxa"/>
            <w:tcBorders>
              <w:top w:val="nil"/>
              <w:left w:val="nil"/>
              <w:bottom w:val="single" w:sz="4" w:space="0" w:color="auto"/>
              <w:right w:val="single" w:sz="4" w:space="0" w:color="auto"/>
            </w:tcBorders>
            <w:vAlign w:val="center"/>
            <w:hideMark/>
          </w:tcPr>
          <w:p w14:paraId="60155B54"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215</w:t>
            </w:r>
          </w:p>
        </w:tc>
        <w:tc>
          <w:tcPr>
            <w:tcW w:w="2236" w:type="dxa"/>
            <w:tcBorders>
              <w:top w:val="nil"/>
              <w:left w:val="nil"/>
              <w:bottom w:val="single" w:sz="4" w:space="0" w:color="auto"/>
              <w:right w:val="single" w:sz="4" w:space="0" w:color="auto"/>
            </w:tcBorders>
            <w:vAlign w:val="center"/>
            <w:hideMark/>
          </w:tcPr>
          <w:p w14:paraId="2E5D965C"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160</w:t>
            </w:r>
          </w:p>
        </w:tc>
        <w:tc>
          <w:tcPr>
            <w:tcW w:w="1600" w:type="dxa"/>
            <w:tcBorders>
              <w:top w:val="nil"/>
              <w:left w:val="nil"/>
              <w:bottom w:val="single" w:sz="4" w:space="0" w:color="auto"/>
              <w:right w:val="single" w:sz="4" w:space="0" w:color="auto"/>
            </w:tcBorders>
            <w:vAlign w:val="center"/>
            <w:hideMark/>
          </w:tcPr>
          <w:p w14:paraId="575E1007"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14:ligatures w14:val="none"/>
              </w:rPr>
            </w:pPr>
            <w:r w:rsidRPr="00BC571D">
              <w:rPr>
                <w:rFonts w:ascii="Times New Roman" w:eastAsia="Times New Roman" w:hAnsi="Times New Roman" w:cs="Times New Roman"/>
                <w:color w:val="1F1F1F"/>
                <w:kern w:val="0"/>
                <w14:ligatures w14:val="none"/>
              </w:rPr>
              <w:t>-25.6</w:t>
            </w:r>
          </w:p>
        </w:tc>
      </w:tr>
    </w:tbl>
    <w:p w14:paraId="72A92A94" w14:textId="77777777" w:rsidR="00BC571D" w:rsidRPr="001E285D" w:rsidRDefault="00BC571D" w:rsidP="00BC571D">
      <w:pPr>
        <w:spacing w:line="360" w:lineRule="auto"/>
        <w:jc w:val="center"/>
        <w:rPr>
          <w:rFonts w:ascii="Times New Roman" w:hAnsi="Times New Roman" w:cs="Times New Roman"/>
          <w:lang w:val="bg-BG"/>
        </w:rPr>
      </w:pPr>
      <w:r w:rsidRPr="001E285D">
        <w:rPr>
          <w:rFonts w:ascii="Times New Roman" w:hAnsi="Times New Roman" w:cs="Times New Roman"/>
        </w:rPr>
        <w:t>Source: Own calculations</w:t>
      </w:r>
    </w:p>
    <w:p w14:paraId="43F070B3" w14:textId="77777777" w:rsidR="00BC571D" w:rsidRPr="00BC571D" w:rsidRDefault="00BC571D" w:rsidP="00BC571D">
      <w:pPr>
        <w:spacing w:line="360" w:lineRule="auto"/>
        <w:ind w:firstLine="720"/>
        <w:jc w:val="both"/>
        <w:rPr>
          <w:rFonts w:ascii="Times New Roman" w:hAnsi="Times New Roman" w:cs="Times New Roman"/>
        </w:rPr>
      </w:pPr>
      <w:r w:rsidRPr="00BC571D">
        <w:rPr>
          <w:rFonts w:ascii="Times New Roman" w:hAnsi="Times New Roman" w:cs="Times New Roman"/>
        </w:rPr>
        <w:t>Similar results are also observed in Case Study 2 (livestock farm, North Central region):</w:t>
      </w:r>
    </w:p>
    <w:p w14:paraId="7A205F30" w14:textId="77777777" w:rsidR="00BC571D" w:rsidRDefault="00BC571D" w:rsidP="00BC571D">
      <w:pPr>
        <w:spacing w:line="360" w:lineRule="auto"/>
        <w:ind w:firstLine="720"/>
        <w:jc w:val="center"/>
        <w:rPr>
          <w:rFonts w:ascii="Times New Roman" w:hAnsi="Times New Roman" w:cs="Times New Roman"/>
        </w:rPr>
      </w:pPr>
      <w:r w:rsidRPr="00BC571D">
        <w:rPr>
          <w:rFonts w:ascii="Times New Roman" w:hAnsi="Times New Roman" w:cs="Times New Roman"/>
        </w:rPr>
        <w:lastRenderedPageBreak/>
        <w:t>Table 25. Values of environmental efficiency indicators under conventional and sustainable production models — Case 2: Livestock farm, North Central region (BG32)</w:t>
      </w:r>
    </w:p>
    <w:tbl>
      <w:tblPr>
        <w:tblW w:w="8460" w:type="dxa"/>
        <w:jc w:val="center"/>
        <w:tblLook w:val="04A0" w:firstRow="1" w:lastRow="0" w:firstColumn="1" w:lastColumn="0" w:noHBand="0" w:noVBand="1"/>
      </w:tblPr>
      <w:tblGrid>
        <w:gridCol w:w="1451"/>
        <w:gridCol w:w="1476"/>
        <w:gridCol w:w="2293"/>
        <w:gridCol w:w="1641"/>
        <w:gridCol w:w="1599"/>
      </w:tblGrid>
      <w:tr w:rsidR="00BC571D" w:rsidRPr="00BC571D" w14:paraId="45C2CACC" w14:textId="77777777" w:rsidTr="00BC571D">
        <w:trPr>
          <w:trHeight w:val="552"/>
          <w:jc w:val="center"/>
        </w:trPr>
        <w:tc>
          <w:tcPr>
            <w:tcW w:w="1451" w:type="dxa"/>
            <w:tcBorders>
              <w:top w:val="single" w:sz="4" w:space="0" w:color="auto"/>
              <w:left w:val="single" w:sz="4" w:space="0" w:color="auto"/>
              <w:bottom w:val="single" w:sz="4" w:space="0" w:color="auto"/>
              <w:right w:val="single" w:sz="4" w:space="0" w:color="auto"/>
            </w:tcBorders>
            <w:vAlign w:val="center"/>
            <w:hideMark/>
          </w:tcPr>
          <w:p w14:paraId="657A226C" w14:textId="77777777" w:rsidR="00BC571D" w:rsidRPr="00BC571D" w:rsidRDefault="00BC571D" w:rsidP="00BC571D">
            <w:pPr>
              <w:spacing w:after="0" w:line="240" w:lineRule="auto"/>
              <w:jc w:val="center"/>
              <w:rPr>
                <w:rFonts w:ascii="Times New Roman" w:eastAsia="Times New Roman" w:hAnsi="Times New Roman" w:cs="Times New Roman"/>
                <w:b/>
                <w:bCs/>
                <w:color w:val="1F1F1F"/>
                <w:kern w:val="0"/>
                <w:sz w:val="22"/>
                <w:szCs w:val="22"/>
                <w14:ligatures w14:val="none"/>
              </w:rPr>
            </w:pPr>
            <w:r w:rsidRPr="00BC571D">
              <w:rPr>
                <w:rFonts w:ascii="Times New Roman" w:eastAsia="Times New Roman" w:hAnsi="Times New Roman" w:cs="Times New Roman"/>
                <w:b/>
                <w:bCs/>
                <w:color w:val="1F1F1F"/>
                <w:kern w:val="0"/>
                <w:sz w:val="22"/>
                <w:szCs w:val="22"/>
                <w14:ligatures w14:val="none"/>
              </w:rPr>
              <w:t>Indicator</w:t>
            </w:r>
          </w:p>
        </w:tc>
        <w:tc>
          <w:tcPr>
            <w:tcW w:w="1476" w:type="dxa"/>
            <w:tcBorders>
              <w:top w:val="single" w:sz="4" w:space="0" w:color="auto"/>
              <w:left w:val="nil"/>
              <w:bottom w:val="single" w:sz="4" w:space="0" w:color="auto"/>
              <w:right w:val="single" w:sz="4" w:space="0" w:color="auto"/>
            </w:tcBorders>
            <w:vAlign w:val="center"/>
            <w:hideMark/>
          </w:tcPr>
          <w:p w14:paraId="19876373" w14:textId="77777777" w:rsidR="00BC571D" w:rsidRPr="00BC571D" w:rsidRDefault="00BC571D" w:rsidP="00BC571D">
            <w:pPr>
              <w:spacing w:after="0" w:line="240" w:lineRule="auto"/>
              <w:jc w:val="center"/>
              <w:rPr>
                <w:rFonts w:ascii="Times New Roman" w:eastAsia="Times New Roman" w:hAnsi="Times New Roman" w:cs="Times New Roman"/>
                <w:b/>
                <w:bCs/>
                <w:color w:val="1F1F1F"/>
                <w:kern w:val="0"/>
                <w:sz w:val="22"/>
                <w:szCs w:val="22"/>
                <w14:ligatures w14:val="none"/>
              </w:rPr>
            </w:pPr>
            <w:r w:rsidRPr="00BC571D">
              <w:rPr>
                <w:rFonts w:ascii="Times New Roman" w:eastAsia="Times New Roman" w:hAnsi="Times New Roman" w:cs="Times New Roman"/>
                <w:b/>
                <w:bCs/>
                <w:color w:val="1F1F1F"/>
                <w:kern w:val="0"/>
                <w:sz w:val="22"/>
                <w:szCs w:val="22"/>
                <w14:ligatures w14:val="none"/>
              </w:rPr>
              <w:t>Conventional Model</w:t>
            </w:r>
          </w:p>
        </w:tc>
        <w:tc>
          <w:tcPr>
            <w:tcW w:w="2293" w:type="dxa"/>
            <w:tcBorders>
              <w:top w:val="single" w:sz="4" w:space="0" w:color="auto"/>
              <w:left w:val="nil"/>
              <w:bottom w:val="single" w:sz="4" w:space="0" w:color="auto"/>
              <w:right w:val="single" w:sz="4" w:space="0" w:color="auto"/>
            </w:tcBorders>
            <w:vAlign w:val="center"/>
            <w:hideMark/>
          </w:tcPr>
          <w:p w14:paraId="79FF00ED" w14:textId="77777777" w:rsidR="00BC571D" w:rsidRPr="00BC571D" w:rsidRDefault="00BC571D" w:rsidP="00BC571D">
            <w:pPr>
              <w:spacing w:after="0" w:line="240" w:lineRule="auto"/>
              <w:jc w:val="center"/>
              <w:rPr>
                <w:rFonts w:ascii="Times New Roman" w:eastAsia="Times New Roman" w:hAnsi="Times New Roman" w:cs="Times New Roman"/>
                <w:b/>
                <w:bCs/>
                <w:color w:val="1F1F1F"/>
                <w:kern w:val="0"/>
                <w:sz w:val="22"/>
                <w:szCs w:val="22"/>
                <w14:ligatures w14:val="none"/>
              </w:rPr>
            </w:pPr>
            <w:r w:rsidRPr="00BC571D">
              <w:rPr>
                <w:rFonts w:ascii="Times New Roman" w:eastAsia="Times New Roman" w:hAnsi="Times New Roman" w:cs="Times New Roman"/>
                <w:b/>
                <w:bCs/>
                <w:color w:val="1F1F1F"/>
                <w:kern w:val="0"/>
                <w:sz w:val="22"/>
                <w:szCs w:val="22"/>
                <w14:ligatures w14:val="none"/>
              </w:rPr>
              <w:t>Sustainable Model</w:t>
            </w:r>
          </w:p>
        </w:tc>
        <w:tc>
          <w:tcPr>
            <w:tcW w:w="1641" w:type="dxa"/>
            <w:tcBorders>
              <w:top w:val="single" w:sz="4" w:space="0" w:color="auto"/>
              <w:left w:val="nil"/>
              <w:bottom w:val="single" w:sz="4" w:space="0" w:color="auto"/>
              <w:right w:val="single" w:sz="4" w:space="0" w:color="auto"/>
            </w:tcBorders>
            <w:vAlign w:val="center"/>
            <w:hideMark/>
          </w:tcPr>
          <w:p w14:paraId="46D36F3F" w14:textId="77777777" w:rsidR="00BC571D" w:rsidRPr="00BC571D" w:rsidRDefault="00BC571D" w:rsidP="00BC571D">
            <w:pPr>
              <w:spacing w:after="0" w:line="240" w:lineRule="auto"/>
              <w:jc w:val="center"/>
              <w:rPr>
                <w:rFonts w:ascii="Times New Roman" w:eastAsia="Times New Roman" w:hAnsi="Times New Roman" w:cs="Times New Roman"/>
                <w:b/>
                <w:bCs/>
                <w:color w:val="1F1F1F"/>
                <w:kern w:val="0"/>
                <w:sz w:val="22"/>
                <w:szCs w:val="22"/>
                <w14:ligatures w14:val="none"/>
              </w:rPr>
            </w:pPr>
            <w:r w:rsidRPr="00BC571D">
              <w:rPr>
                <w:rFonts w:ascii="Times New Roman" w:eastAsia="Times New Roman" w:hAnsi="Times New Roman" w:cs="Times New Roman"/>
                <w:b/>
                <w:bCs/>
                <w:color w:val="1F1F1F"/>
                <w:kern w:val="0"/>
                <w:sz w:val="22"/>
                <w:szCs w:val="22"/>
                <w14:ligatures w14:val="none"/>
              </w:rPr>
              <w:t>Change (%)</w:t>
            </w:r>
          </w:p>
        </w:tc>
        <w:tc>
          <w:tcPr>
            <w:tcW w:w="1599" w:type="dxa"/>
            <w:tcBorders>
              <w:top w:val="single" w:sz="4" w:space="0" w:color="auto"/>
              <w:left w:val="nil"/>
              <w:bottom w:val="single" w:sz="4" w:space="0" w:color="auto"/>
              <w:right w:val="single" w:sz="4" w:space="0" w:color="auto"/>
            </w:tcBorders>
            <w:vAlign w:val="center"/>
            <w:hideMark/>
          </w:tcPr>
          <w:p w14:paraId="385F9423" w14:textId="77777777" w:rsidR="00BC571D" w:rsidRPr="00BC571D" w:rsidRDefault="00BC571D" w:rsidP="00BC571D">
            <w:pPr>
              <w:spacing w:after="0" w:line="240" w:lineRule="auto"/>
              <w:jc w:val="center"/>
              <w:rPr>
                <w:rFonts w:ascii="Times New Roman" w:eastAsia="Times New Roman" w:hAnsi="Times New Roman" w:cs="Times New Roman"/>
                <w:b/>
                <w:bCs/>
                <w:color w:val="1F1F1F"/>
                <w:kern w:val="0"/>
                <w:sz w:val="22"/>
                <w:szCs w:val="22"/>
                <w14:ligatures w14:val="none"/>
              </w:rPr>
            </w:pPr>
            <w:r w:rsidRPr="00BC571D">
              <w:rPr>
                <w:rFonts w:ascii="Times New Roman" w:eastAsia="Times New Roman" w:hAnsi="Times New Roman" w:cs="Times New Roman"/>
                <w:b/>
                <w:bCs/>
                <w:color w:val="1F1F1F"/>
                <w:kern w:val="0"/>
                <w:sz w:val="22"/>
                <w:szCs w:val="22"/>
                <w14:ligatures w14:val="none"/>
              </w:rPr>
              <w:t>Interpretation</w:t>
            </w:r>
          </w:p>
        </w:tc>
      </w:tr>
      <w:tr w:rsidR="00BC571D" w:rsidRPr="00BC571D" w14:paraId="1A9E0D83" w14:textId="77777777" w:rsidTr="00BC571D">
        <w:trPr>
          <w:trHeight w:val="288"/>
          <w:jc w:val="center"/>
        </w:trPr>
        <w:tc>
          <w:tcPr>
            <w:tcW w:w="1451" w:type="dxa"/>
            <w:tcBorders>
              <w:top w:val="nil"/>
              <w:left w:val="single" w:sz="4" w:space="0" w:color="auto"/>
              <w:bottom w:val="single" w:sz="4" w:space="0" w:color="auto"/>
              <w:right w:val="single" w:sz="4" w:space="0" w:color="auto"/>
            </w:tcBorders>
            <w:vAlign w:val="center"/>
            <w:hideMark/>
          </w:tcPr>
          <w:p w14:paraId="5CEAC3E8"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F (kg/head)</w:t>
            </w:r>
          </w:p>
        </w:tc>
        <w:tc>
          <w:tcPr>
            <w:tcW w:w="1476" w:type="dxa"/>
            <w:tcBorders>
              <w:top w:val="nil"/>
              <w:left w:val="nil"/>
              <w:bottom w:val="single" w:sz="4" w:space="0" w:color="auto"/>
              <w:right w:val="single" w:sz="4" w:space="0" w:color="auto"/>
            </w:tcBorders>
            <w:vAlign w:val="center"/>
            <w:hideMark/>
          </w:tcPr>
          <w:p w14:paraId="356A8648"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3,650</w:t>
            </w:r>
          </w:p>
        </w:tc>
        <w:tc>
          <w:tcPr>
            <w:tcW w:w="2293" w:type="dxa"/>
            <w:tcBorders>
              <w:top w:val="nil"/>
              <w:left w:val="nil"/>
              <w:bottom w:val="single" w:sz="4" w:space="0" w:color="auto"/>
              <w:right w:val="single" w:sz="4" w:space="0" w:color="auto"/>
            </w:tcBorders>
            <w:vAlign w:val="center"/>
            <w:hideMark/>
          </w:tcPr>
          <w:p w14:paraId="52AE3A51"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3,200</w:t>
            </w:r>
          </w:p>
        </w:tc>
        <w:tc>
          <w:tcPr>
            <w:tcW w:w="1641" w:type="dxa"/>
            <w:tcBorders>
              <w:top w:val="nil"/>
              <w:left w:val="nil"/>
              <w:bottom w:val="single" w:sz="4" w:space="0" w:color="auto"/>
              <w:right w:val="single" w:sz="4" w:space="0" w:color="auto"/>
            </w:tcBorders>
            <w:vAlign w:val="center"/>
            <w:hideMark/>
          </w:tcPr>
          <w:p w14:paraId="01001E2E"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-12.3</w:t>
            </w:r>
          </w:p>
        </w:tc>
        <w:tc>
          <w:tcPr>
            <w:tcW w:w="1599" w:type="dxa"/>
            <w:tcBorders>
              <w:top w:val="nil"/>
              <w:left w:val="nil"/>
              <w:bottom w:val="single" w:sz="4" w:space="0" w:color="auto"/>
              <w:right w:val="single" w:sz="4" w:space="0" w:color="auto"/>
            </w:tcBorders>
            <w:vAlign w:val="center"/>
            <w:hideMark/>
          </w:tcPr>
          <w:p w14:paraId="7C927BA3"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Reduced feed</w:t>
            </w:r>
          </w:p>
        </w:tc>
      </w:tr>
      <w:tr w:rsidR="00BC571D" w:rsidRPr="00BC571D" w14:paraId="24549F8D" w14:textId="77777777" w:rsidTr="00BC571D">
        <w:trPr>
          <w:trHeight w:val="552"/>
          <w:jc w:val="center"/>
        </w:trPr>
        <w:tc>
          <w:tcPr>
            <w:tcW w:w="1451" w:type="dxa"/>
            <w:tcBorders>
              <w:top w:val="nil"/>
              <w:left w:val="single" w:sz="4" w:space="0" w:color="auto"/>
              <w:bottom w:val="single" w:sz="4" w:space="0" w:color="auto"/>
              <w:right w:val="single" w:sz="4" w:space="0" w:color="auto"/>
            </w:tcBorders>
            <w:vAlign w:val="center"/>
            <w:hideMark/>
          </w:tcPr>
          <w:p w14:paraId="3C790BD1"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W (m³/head)</w:t>
            </w:r>
          </w:p>
        </w:tc>
        <w:tc>
          <w:tcPr>
            <w:tcW w:w="1476" w:type="dxa"/>
            <w:tcBorders>
              <w:top w:val="nil"/>
              <w:left w:val="nil"/>
              <w:bottom w:val="single" w:sz="4" w:space="0" w:color="auto"/>
              <w:right w:val="single" w:sz="4" w:space="0" w:color="auto"/>
            </w:tcBorders>
            <w:vAlign w:val="center"/>
            <w:hideMark/>
          </w:tcPr>
          <w:p w14:paraId="0AC737BB"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15.5</w:t>
            </w:r>
          </w:p>
        </w:tc>
        <w:tc>
          <w:tcPr>
            <w:tcW w:w="2293" w:type="dxa"/>
            <w:tcBorders>
              <w:top w:val="nil"/>
              <w:left w:val="nil"/>
              <w:bottom w:val="single" w:sz="4" w:space="0" w:color="auto"/>
              <w:right w:val="single" w:sz="4" w:space="0" w:color="auto"/>
            </w:tcBorders>
            <w:vAlign w:val="center"/>
            <w:hideMark/>
          </w:tcPr>
          <w:p w14:paraId="17B1BC81"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12.2</w:t>
            </w:r>
          </w:p>
        </w:tc>
        <w:tc>
          <w:tcPr>
            <w:tcW w:w="1641" w:type="dxa"/>
            <w:tcBorders>
              <w:top w:val="nil"/>
              <w:left w:val="nil"/>
              <w:bottom w:val="single" w:sz="4" w:space="0" w:color="auto"/>
              <w:right w:val="single" w:sz="4" w:space="0" w:color="auto"/>
            </w:tcBorders>
            <w:vAlign w:val="center"/>
            <w:hideMark/>
          </w:tcPr>
          <w:p w14:paraId="189963DA"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-21.3</w:t>
            </w:r>
          </w:p>
        </w:tc>
        <w:tc>
          <w:tcPr>
            <w:tcW w:w="1599" w:type="dxa"/>
            <w:tcBorders>
              <w:top w:val="nil"/>
              <w:left w:val="nil"/>
              <w:bottom w:val="single" w:sz="4" w:space="0" w:color="auto"/>
              <w:right w:val="single" w:sz="4" w:space="0" w:color="auto"/>
            </w:tcBorders>
            <w:vAlign w:val="center"/>
            <w:hideMark/>
          </w:tcPr>
          <w:p w14:paraId="4F986482"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Lower water consumption</w:t>
            </w:r>
          </w:p>
        </w:tc>
      </w:tr>
      <w:tr w:rsidR="00BC571D" w:rsidRPr="00BC571D" w14:paraId="53FF074A" w14:textId="77777777" w:rsidTr="00BC571D">
        <w:trPr>
          <w:trHeight w:val="552"/>
          <w:jc w:val="center"/>
        </w:trPr>
        <w:tc>
          <w:tcPr>
            <w:tcW w:w="1451" w:type="dxa"/>
            <w:tcBorders>
              <w:top w:val="nil"/>
              <w:left w:val="single" w:sz="4" w:space="0" w:color="auto"/>
              <w:bottom w:val="single" w:sz="4" w:space="0" w:color="auto"/>
              <w:right w:val="single" w:sz="4" w:space="0" w:color="auto"/>
            </w:tcBorders>
            <w:vAlign w:val="center"/>
            <w:hideMark/>
          </w:tcPr>
          <w:p w14:paraId="5D79B345"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WP (t/m³)</w:t>
            </w:r>
          </w:p>
        </w:tc>
        <w:tc>
          <w:tcPr>
            <w:tcW w:w="1476" w:type="dxa"/>
            <w:tcBorders>
              <w:top w:val="nil"/>
              <w:left w:val="nil"/>
              <w:bottom w:val="single" w:sz="4" w:space="0" w:color="auto"/>
              <w:right w:val="single" w:sz="4" w:space="0" w:color="auto"/>
            </w:tcBorders>
            <w:vAlign w:val="center"/>
            <w:hideMark/>
          </w:tcPr>
          <w:p w14:paraId="20DF501C"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0.045</w:t>
            </w:r>
          </w:p>
        </w:tc>
        <w:tc>
          <w:tcPr>
            <w:tcW w:w="2293" w:type="dxa"/>
            <w:tcBorders>
              <w:top w:val="nil"/>
              <w:left w:val="nil"/>
              <w:bottom w:val="single" w:sz="4" w:space="0" w:color="auto"/>
              <w:right w:val="single" w:sz="4" w:space="0" w:color="auto"/>
            </w:tcBorders>
            <w:vAlign w:val="center"/>
            <w:hideMark/>
          </w:tcPr>
          <w:p w14:paraId="3211072F"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0.059</w:t>
            </w:r>
          </w:p>
        </w:tc>
        <w:tc>
          <w:tcPr>
            <w:tcW w:w="1641" w:type="dxa"/>
            <w:tcBorders>
              <w:top w:val="nil"/>
              <w:left w:val="nil"/>
              <w:bottom w:val="single" w:sz="4" w:space="0" w:color="auto"/>
              <w:right w:val="single" w:sz="4" w:space="0" w:color="auto"/>
            </w:tcBorders>
            <w:vAlign w:val="center"/>
            <w:hideMark/>
          </w:tcPr>
          <w:p w14:paraId="524D54B7"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31.1</w:t>
            </w:r>
          </w:p>
        </w:tc>
        <w:tc>
          <w:tcPr>
            <w:tcW w:w="1599" w:type="dxa"/>
            <w:tcBorders>
              <w:top w:val="nil"/>
              <w:left w:val="nil"/>
              <w:bottom w:val="single" w:sz="4" w:space="0" w:color="auto"/>
              <w:right w:val="single" w:sz="4" w:space="0" w:color="auto"/>
            </w:tcBorders>
            <w:vAlign w:val="center"/>
            <w:hideMark/>
          </w:tcPr>
          <w:p w14:paraId="7BB7C49F"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Increased water productivity</w:t>
            </w:r>
          </w:p>
        </w:tc>
      </w:tr>
      <w:tr w:rsidR="00BC571D" w:rsidRPr="00BC571D" w14:paraId="3F774E16" w14:textId="77777777" w:rsidTr="00BC571D">
        <w:trPr>
          <w:trHeight w:val="828"/>
          <w:jc w:val="center"/>
        </w:trPr>
        <w:tc>
          <w:tcPr>
            <w:tcW w:w="1451" w:type="dxa"/>
            <w:tcBorders>
              <w:top w:val="nil"/>
              <w:left w:val="single" w:sz="4" w:space="0" w:color="auto"/>
              <w:bottom w:val="single" w:sz="4" w:space="0" w:color="auto"/>
              <w:right w:val="single" w:sz="4" w:space="0" w:color="auto"/>
            </w:tcBorders>
            <w:vAlign w:val="center"/>
            <w:hideMark/>
          </w:tcPr>
          <w:p w14:paraId="79C781B7"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EE (BGN/EI)</w:t>
            </w:r>
          </w:p>
        </w:tc>
        <w:tc>
          <w:tcPr>
            <w:tcW w:w="1476" w:type="dxa"/>
            <w:tcBorders>
              <w:top w:val="nil"/>
              <w:left w:val="nil"/>
              <w:bottom w:val="single" w:sz="4" w:space="0" w:color="auto"/>
              <w:right w:val="single" w:sz="4" w:space="0" w:color="auto"/>
            </w:tcBorders>
            <w:vAlign w:val="center"/>
            <w:hideMark/>
          </w:tcPr>
          <w:p w14:paraId="75C82F88"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2.1</w:t>
            </w:r>
          </w:p>
        </w:tc>
        <w:tc>
          <w:tcPr>
            <w:tcW w:w="2293" w:type="dxa"/>
            <w:tcBorders>
              <w:top w:val="nil"/>
              <w:left w:val="nil"/>
              <w:bottom w:val="single" w:sz="4" w:space="0" w:color="auto"/>
              <w:right w:val="single" w:sz="4" w:space="0" w:color="auto"/>
            </w:tcBorders>
            <w:vAlign w:val="center"/>
            <w:hideMark/>
          </w:tcPr>
          <w:p w14:paraId="1BD45D88"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2.94</w:t>
            </w:r>
          </w:p>
        </w:tc>
        <w:tc>
          <w:tcPr>
            <w:tcW w:w="1641" w:type="dxa"/>
            <w:tcBorders>
              <w:top w:val="nil"/>
              <w:left w:val="nil"/>
              <w:bottom w:val="single" w:sz="4" w:space="0" w:color="auto"/>
              <w:right w:val="single" w:sz="4" w:space="0" w:color="auto"/>
            </w:tcBorders>
            <w:vAlign w:val="center"/>
            <w:hideMark/>
          </w:tcPr>
          <w:p w14:paraId="3D14FE40"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40</w:t>
            </w:r>
          </w:p>
        </w:tc>
        <w:tc>
          <w:tcPr>
            <w:tcW w:w="1599" w:type="dxa"/>
            <w:tcBorders>
              <w:top w:val="nil"/>
              <w:left w:val="nil"/>
              <w:bottom w:val="single" w:sz="4" w:space="0" w:color="auto"/>
              <w:right w:val="single" w:sz="4" w:space="0" w:color="auto"/>
            </w:tcBorders>
            <w:vAlign w:val="center"/>
            <w:hideMark/>
          </w:tcPr>
          <w:p w14:paraId="696AC0E7"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Increased environmental efficiency</w:t>
            </w:r>
          </w:p>
        </w:tc>
      </w:tr>
      <w:tr w:rsidR="00BC571D" w:rsidRPr="00BC571D" w14:paraId="6E439BFF" w14:textId="77777777" w:rsidTr="00BC571D">
        <w:trPr>
          <w:trHeight w:val="552"/>
          <w:jc w:val="center"/>
        </w:trPr>
        <w:tc>
          <w:tcPr>
            <w:tcW w:w="1451" w:type="dxa"/>
            <w:tcBorders>
              <w:top w:val="nil"/>
              <w:left w:val="single" w:sz="4" w:space="0" w:color="auto"/>
              <w:bottom w:val="single" w:sz="4" w:space="0" w:color="auto"/>
              <w:right w:val="single" w:sz="4" w:space="0" w:color="auto"/>
            </w:tcBorders>
            <w:vAlign w:val="center"/>
            <w:hideMark/>
          </w:tcPr>
          <w:p w14:paraId="5EFB789C"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ΔEE</w:t>
            </w:r>
          </w:p>
        </w:tc>
        <w:tc>
          <w:tcPr>
            <w:tcW w:w="1476" w:type="dxa"/>
            <w:tcBorders>
              <w:top w:val="nil"/>
              <w:left w:val="nil"/>
              <w:bottom w:val="single" w:sz="4" w:space="0" w:color="auto"/>
              <w:right w:val="single" w:sz="4" w:space="0" w:color="auto"/>
            </w:tcBorders>
            <w:vAlign w:val="center"/>
            <w:hideMark/>
          </w:tcPr>
          <w:p w14:paraId="704ED19C"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w:t>
            </w:r>
          </w:p>
        </w:tc>
        <w:tc>
          <w:tcPr>
            <w:tcW w:w="2293" w:type="dxa"/>
            <w:tcBorders>
              <w:top w:val="nil"/>
              <w:left w:val="nil"/>
              <w:bottom w:val="single" w:sz="4" w:space="0" w:color="auto"/>
              <w:right w:val="single" w:sz="4" w:space="0" w:color="auto"/>
            </w:tcBorders>
            <w:vAlign w:val="center"/>
            <w:hideMark/>
          </w:tcPr>
          <w:p w14:paraId="1ACC3ED1"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1.4</w:t>
            </w:r>
          </w:p>
        </w:tc>
        <w:tc>
          <w:tcPr>
            <w:tcW w:w="1641" w:type="dxa"/>
            <w:tcBorders>
              <w:top w:val="nil"/>
              <w:left w:val="nil"/>
              <w:bottom w:val="single" w:sz="4" w:space="0" w:color="auto"/>
              <w:right w:val="single" w:sz="4" w:space="0" w:color="auto"/>
            </w:tcBorders>
            <w:vAlign w:val="center"/>
            <w:hideMark/>
          </w:tcPr>
          <w:p w14:paraId="28929631"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40</w:t>
            </w:r>
          </w:p>
        </w:tc>
        <w:tc>
          <w:tcPr>
            <w:tcW w:w="1599" w:type="dxa"/>
            <w:tcBorders>
              <w:top w:val="nil"/>
              <w:left w:val="nil"/>
              <w:bottom w:val="single" w:sz="4" w:space="0" w:color="auto"/>
              <w:right w:val="single" w:sz="4" w:space="0" w:color="auto"/>
            </w:tcBorders>
            <w:vAlign w:val="center"/>
            <w:hideMark/>
          </w:tcPr>
          <w:p w14:paraId="1A98AD78" w14:textId="77777777" w:rsidR="00BC571D" w:rsidRPr="00BC571D" w:rsidRDefault="00BC571D" w:rsidP="00BC571D">
            <w:pPr>
              <w:spacing w:after="0" w:line="240" w:lineRule="auto"/>
              <w:jc w:val="center"/>
              <w:rPr>
                <w:rFonts w:ascii="Times New Roman" w:eastAsia="Times New Roman" w:hAnsi="Times New Roman" w:cs="Times New Roman"/>
                <w:color w:val="1F1F1F"/>
                <w:kern w:val="0"/>
                <w:sz w:val="22"/>
                <w:szCs w:val="22"/>
                <w14:ligatures w14:val="none"/>
              </w:rPr>
            </w:pPr>
            <w:r w:rsidRPr="00BC571D">
              <w:rPr>
                <w:rFonts w:ascii="Times New Roman" w:eastAsia="Times New Roman" w:hAnsi="Times New Roman" w:cs="Times New Roman"/>
                <w:color w:val="1F1F1F"/>
                <w:kern w:val="0"/>
                <w:sz w:val="22"/>
                <w:szCs w:val="22"/>
                <w14:ligatures w14:val="none"/>
              </w:rPr>
              <w:t>Clear positive dynamics</w:t>
            </w:r>
          </w:p>
        </w:tc>
      </w:tr>
    </w:tbl>
    <w:p w14:paraId="003846C6" w14:textId="77777777" w:rsidR="00BC571D" w:rsidRPr="001E285D" w:rsidRDefault="00BC571D" w:rsidP="00BC571D">
      <w:pPr>
        <w:spacing w:line="360" w:lineRule="auto"/>
        <w:jc w:val="center"/>
        <w:rPr>
          <w:rFonts w:ascii="Times New Roman" w:hAnsi="Times New Roman" w:cs="Times New Roman"/>
          <w:lang w:val="bg-BG"/>
        </w:rPr>
      </w:pPr>
      <w:r w:rsidRPr="001E285D">
        <w:rPr>
          <w:rFonts w:ascii="Times New Roman" w:hAnsi="Times New Roman" w:cs="Times New Roman"/>
        </w:rPr>
        <w:t>Source: Own calculations</w:t>
      </w:r>
    </w:p>
    <w:p w14:paraId="4BEED149" w14:textId="430825CC" w:rsidR="00BC571D" w:rsidRDefault="00BC571D" w:rsidP="00BC571D">
      <w:pPr>
        <w:spacing w:line="360" w:lineRule="auto"/>
        <w:ind w:firstLine="720"/>
        <w:jc w:val="both"/>
        <w:rPr>
          <w:rFonts w:ascii="Times New Roman" w:hAnsi="Times New Roman" w:cs="Times New Roman"/>
        </w:rPr>
      </w:pPr>
      <w:r w:rsidRPr="00BC571D">
        <w:rPr>
          <w:rFonts w:ascii="Times New Roman" w:hAnsi="Times New Roman" w:cs="Times New Roman"/>
        </w:rPr>
        <w:t>The same trend is also confirmed in Case Study 3 (perennial crop farm, Southeast region):</w:t>
      </w:r>
    </w:p>
    <w:p w14:paraId="50FD8422" w14:textId="11B1AC27" w:rsidR="00BC571D" w:rsidRDefault="00BC571D" w:rsidP="00BC571D">
      <w:pPr>
        <w:spacing w:line="360" w:lineRule="auto"/>
        <w:ind w:firstLine="720"/>
        <w:jc w:val="center"/>
        <w:rPr>
          <w:rFonts w:ascii="Times New Roman" w:hAnsi="Times New Roman" w:cs="Times New Roman"/>
        </w:rPr>
      </w:pPr>
      <w:r w:rsidRPr="00BC571D">
        <w:rPr>
          <w:rFonts w:ascii="Times New Roman" w:hAnsi="Times New Roman" w:cs="Times New Roman"/>
        </w:rPr>
        <w:t>Table 26. Values of environmental efficiency indicators under conventional and sustainable production models — Case 3: Perennial crop farm, Southeast region (BG34)</w:t>
      </w:r>
    </w:p>
    <w:tbl>
      <w:tblPr>
        <w:tblW w:w="8780" w:type="dxa"/>
        <w:jc w:val="center"/>
        <w:tblLook w:val="04A0" w:firstRow="1" w:lastRow="0" w:firstColumn="1" w:lastColumn="0" w:noHBand="0" w:noVBand="1"/>
      </w:tblPr>
      <w:tblGrid>
        <w:gridCol w:w="1420"/>
        <w:gridCol w:w="2320"/>
        <w:gridCol w:w="1660"/>
        <w:gridCol w:w="1600"/>
        <w:gridCol w:w="1780"/>
      </w:tblGrid>
      <w:tr w:rsidR="000B6730" w:rsidRPr="000B6730" w14:paraId="54A170A6" w14:textId="77777777" w:rsidTr="000B6730">
        <w:trPr>
          <w:trHeight w:val="552"/>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14:paraId="7C06C60A"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sz w:val="22"/>
                <w:szCs w:val="22"/>
                <w14:ligatures w14:val="none"/>
              </w:rPr>
            </w:pPr>
            <w:r w:rsidRPr="000B6730">
              <w:rPr>
                <w:rFonts w:ascii="Times New Roman" w:eastAsia="Times New Roman" w:hAnsi="Times New Roman" w:cs="Times New Roman"/>
                <w:b/>
                <w:bCs/>
                <w:color w:val="1F1F1F"/>
                <w:kern w:val="0"/>
                <w:sz w:val="22"/>
                <w:szCs w:val="22"/>
                <w14:ligatures w14:val="none"/>
              </w:rPr>
              <w:t>Indicator</w:t>
            </w:r>
          </w:p>
        </w:tc>
        <w:tc>
          <w:tcPr>
            <w:tcW w:w="2320" w:type="dxa"/>
            <w:tcBorders>
              <w:top w:val="single" w:sz="4" w:space="0" w:color="auto"/>
              <w:left w:val="nil"/>
              <w:bottom w:val="single" w:sz="4" w:space="0" w:color="auto"/>
              <w:right w:val="single" w:sz="4" w:space="0" w:color="auto"/>
            </w:tcBorders>
            <w:vAlign w:val="center"/>
            <w:hideMark/>
          </w:tcPr>
          <w:p w14:paraId="2AE85689"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sz w:val="22"/>
                <w:szCs w:val="22"/>
                <w14:ligatures w14:val="none"/>
              </w:rPr>
            </w:pPr>
            <w:r w:rsidRPr="000B6730">
              <w:rPr>
                <w:rFonts w:ascii="Times New Roman" w:eastAsia="Times New Roman" w:hAnsi="Times New Roman" w:cs="Times New Roman"/>
                <w:b/>
                <w:bCs/>
                <w:color w:val="1F1F1F"/>
                <w:kern w:val="0"/>
                <w:sz w:val="22"/>
                <w:szCs w:val="22"/>
                <w14:ligatures w14:val="none"/>
              </w:rPr>
              <w:t>Conventional Model</w:t>
            </w:r>
          </w:p>
        </w:tc>
        <w:tc>
          <w:tcPr>
            <w:tcW w:w="1660" w:type="dxa"/>
            <w:tcBorders>
              <w:top w:val="single" w:sz="4" w:space="0" w:color="auto"/>
              <w:left w:val="nil"/>
              <w:bottom w:val="single" w:sz="4" w:space="0" w:color="auto"/>
              <w:right w:val="single" w:sz="4" w:space="0" w:color="auto"/>
            </w:tcBorders>
            <w:vAlign w:val="center"/>
            <w:hideMark/>
          </w:tcPr>
          <w:p w14:paraId="2E4C84A3"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sz w:val="22"/>
                <w:szCs w:val="22"/>
                <w14:ligatures w14:val="none"/>
              </w:rPr>
            </w:pPr>
            <w:r w:rsidRPr="000B6730">
              <w:rPr>
                <w:rFonts w:ascii="Times New Roman" w:eastAsia="Times New Roman" w:hAnsi="Times New Roman" w:cs="Times New Roman"/>
                <w:b/>
                <w:bCs/>
                <w:color w:val="1F1F1F"/>
                <w:kern w:val="0"/>
                <w:sz w:val="22"/>
                <w:szCs w:val="22"/>
                <w14:ligatures w14:val="none"/>
              </w:rPr>
              <w:t>Sustainable Model</w:t>
            </w:r>
          </w:p>
        </w:tc>
        <w:tc>
          <w:tcPr>
            <w:tcW w:w="1600" w:type="dxa"/>
            <w:tcBorders>
              <w:top w:val="single" w:sz="4" w:space="0" w:color="auto"/>
              <w:left w:val="nil"/>
              <w:bottom w:val="single" w:sz="4" w:space="0" w:color="auto"/>
              <w:right w:val="single" w:sz="4" w:space="0" w:color="auto"/>
            </w:tcBorders>
            <w:vAlign w:val="center"/>
            <w:hideMark/>
          </w:tcPr>
          <w:p w14:paraId="488923E7"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sz w:val="22"/>
                <w:szCs w:val="22"/>
                <w14:ligatures w14:val="none"/>
              </w:rPr>
            </w:pPr>
            <w:r w:rsidRPr="000B6730">
              <w:rPr>
                <w:rFonts w:ascii="Times New Roman" w:eastAsia="Times New Roman" w:hAnsi="Times New Roman" w:cs="Times New Roman"/>
                <w:b/>
                <w:bCs/>
                <w:color w:val="1F1F1F"/>
                <w:kern w:val="0"/>
                <w:sz w:val="22"/>
                <w:szCs w:val="22"/>
                <w14:ligatures w14:val="none"/>
              </w:rPr>
              <w:t>Change (%)</w:t>
            </w:r>
          </w:p>
        </w:tc>
        <w:tc>
          <w:tcPr>
            <w:tcW w:w="1780" w:type="dxa"/>
            <w:tcBorders>
              <w:top w:val="single" w:sz="4" w:space="0" w:color="auto"/>
              <w:left w:val="nil"/>
              <w:bottom w:val="single" w:sz="4" w:space="0" w:color="auto"/>
              <w:right w:val="single" w:sz="4" w:space="0" w:color="auto"/>
            </w:tcBorders>
            <w:vAlign w:val="center"/>
            <w:hideMark/>
          </w:tcPr>
          <w:p w14:paraId="503321B8"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sz w:val="22"/>
                <w:szCs w:val="22"/>
                <w14:ligatures w14:val="none"/>
              </w:rPr>
            </w:pPr>
            <w:r w:rsidRPr="000B6730">
              <w:rPr>
                <w:rFonts w:ascii="Times New Roman" w:eastAsia="Times New Roman" w:hAnsi="Times New Roman" w:cs="Times New Roman"/>
                <w:b/>
                <w:bCs/>
                <w:color w:val="1F1F1F"/>
                <w:kern w:val="0"/>
                <w:sz w:val="22"/>
                <w:szCs w:val="22"/>
                <w14:ligatures w14:val="none"/>
              </w:rPr>
              <w:t>Interpretation</w:t>
            </w:r>
          </w:p>
        </w:tc>
      </w:tr>
      <w:tr w:rsidR="000B6730" w:rsidRPr="000B6730" w14:paraId="27E958B4" w14:textId="77777777" w:rsidTr="000B6730">
        <w:trPr>
          <w:trHeight w:val="828"/>
          <w:jc w:val="center"/>
        </w:trPr>
        <w:tc>
          <w:tcPr>
            <w:tcW w:w="1420" w:type="dxa"/>
            <w:tcBorders>
              <w:top w:val="nil"/>
              <w:left w:val="single" w:sz="4" w:space="0" w:color="auto"/>
              <w:bottom w:val="single" w:sz="4" w:space="0" w:color="auto"/>
              <w:right w:val="single" w:sz="4" w:space="0" w:color="auto"/>
            </w:tcBorders>
            <w:vAlign w:val="center"/>
            <w:hideMark/>
          </w:tcPr>
          <w:p w14:paraId="506B8438"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W (m³/ha)</w:t>
            </w:r>
          </w:p>
        </w:tc>
        <w:tc>
          <w:tcPr>
            <w:tcW w:w="2320" w:type="dxa"/>
            <w:tcBorders>
              <w:top w:val="nil"/>
              <w:left w:val="nil"/>
              <w:bottom w:val="single" w:sz="4" w:space="0" w:color="auto"/>
              <w:right w:val="single" w:sz="4" w:space="0" w:color="auto"/>
            </w:tcBorders>
            <w:vAlign w:val="center"/>
            <w:hideMark/>
          </w:tcPr>
          <w:p w14:paraId="47BC321C"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2,400</w:t>
            </w:r>
          </w:p>
        </w:tc>
        <w:tc>
          <w:tcPr>
            <w:tcW w:w="1660" w:type="dxa"/>
            <w:tcBorders>
              <w:top w:val="nil"/>
              <w:left w:val="nil"/>
              <w:bottom w:val="single" w:sz="4" w:space="0" w:color="auto"/>
              <w:right w:val="single" w:sz="4" w:space="0" w:color="auto"/>
            </w:tcBorders>
            <w:vAlign w:val="center"/>
            <w:hideMark/>
          </w:tcPr>
          <w:p w14:paraId="19DB26E1"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1,850</w:t>
            </w:r>
          </w:p>
        </w:tc>
        <w:tc>
          <w:tcPr>
            <w:tcW w:w="1600" w:type="dxa"/>
            <w:tcBorders>
              <w:top w:val="nil"/>
              <w:left w:val="nil"/>
              <w:bottom w:val="single" w:sz="4" w:space="0" w:color="auto"/>
              <w:right w:val="single" w:sz="4" w:space="0" w:color="auto"/>
            </w:tcBorders>
            <w:vAlign w:val="center"/>
            <w:hideMark/>
          </w:tcPr>
          <w:p w14:paraId="076F3CE4"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-22.9</w:t>
            </w:r>
          </w:p>
        </w:tc>
        <w:tc>
          <w:tcPr>
            <w:tcW w:w="1780" w:type="dxa"/>
            <w:tcBorders>
              <w:top w:val="nil"/>
              <w:left w:val="nil"/>
              <w:bottom w:val="single" w:sz="4" w:space="0" w:color="auto"/>
              <w:right w:val="single" w:sz="4" w:space="0" w:color="auto"/>
            </w:tcBorders>
            <w:vAlign w:val="center"/>
            <w:hideMark/>
          </w:tcPr>
          <w:p w14:paraId="517F9E51"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Significant water savings</w:t>
            </w:r>
          </w:p>
        </w:tc>
      </w:tr>
      <w:tr w:rsidR="000B6730" w:rsidRPr="000B6730" w14:paraId="2A2B241C" w14:textId="77777777" w:rsidTr="000B6730">
        <w:trPr>
          <w:trHeight w:val="828"/>
          <w:jc w:val="center"/>
        </w:trPr>
        <w:tc>
          <w:tcPr>
            <w:tcW w:w="1420" w:type="dxa"/>
            <w:tcBorders>
              <w:top w:val="nil"/>
              <w:left w:val="single" w:sz="4" w:space="0" w:color="auto"/>
              <w:bottom w:val="single" w:sz="4" w:space="0" w:color="auto"/>
              <w:right w:val="single" w:sz="4" w:space="0" w:color="auto"/>
            </w:tcBorders>
            <w:vAlign w:val="center"/>
            <w:hideMark/>
          </w:tcPr>
          <w:p w14:paraId="3DFCAB9C"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P (int./ha)</w:t>
            </w:r>
          </w:p>
        </w:tc>
        <w:tc>
          <w:tcPr>
            <w:tcW w:w="2320" w:type="dxa"/>
            <w:tcBorders>
              <w:top w:val="nil"/>
              <w:left w:val="nil"/>
              <w:bottom w:val="single" w:sz="4" w:space="0" w:color="auto"/>
              <w:right w:val="single" w:sz="4" w:space="0" w:color="auto"/>
            </w:tcBorders>
            <w:vAlign w:val="center"/>
            <w:hideMark/>
          </w:tcPr>
          <w:p w14:paraId="21505EAF"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16.3</w:t>
            </w:r>
          </w:p>
        </w:tc>
        <w:tc>
          <w:tcPr>
            <w:tcW w:w="1660" w:type="dxa"/>
            <w:tcBorders>
              <w:top w:val="nil"/>
              <w:left w:val="nil"/>
              <w:bottom w:val="single" w:sz="4" w:space="0" w:color="auto"/>
              <w:right w:val="single" w:sz="4" w:space="0" w:color="auto"/>
            </w:tcBorders>
            <w:vAlign w:val="center"/>
            <w:hideMark/>
          </w:tcPr>
          <w:p w14:paraId="234D1F57"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11.5</w:t>
            </w:r>
          </w:p>
        </w:tc>
        <w:tc>
          <w:tcPr>
            <w:tcW w:w="1600" w:type="dxa"/>
            <w:tcBorders>
              <w:top w:val="nil"/>
              <w:left w:val="nil"/>
              <w:bottom w:val="single" w:sz="4" w:space="0" w:color="auto"/>
              <w:right w:val="single" w:sz="4" w:space="0" w:color="auto"/>
            </w:tcBorders>
            <w:vAlign w:val="center"/>
            <w:hideMark/>
          </w:tcPr>
          <w:p w14:paraId="60B8162F"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-29.4</w:t>
            </w:r>
          </w:p>
        </w:tc>
        <w:tc>
          <w:tcPr>
            <w:tcW w:w="1780" w:type="dxa"/>
            <w:tcBorders>
              <w:top w:val="nil"/>
              <w:left w:val="nil"/>
              <w:bottom w:val="single" w:sz="4" w:space="0" w:color="auto"/>
              <w:right w:val="single" w:sz="4" w:space="0" w:color="auto"/>
            </w:tcBorders>
            <w:vAlign w:val="center"/>
            <w:hideMark/>
          </w:tcPr>
          <w:p w14:paraId="1137F127"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Reduced chemical load</w:t>
            </w:r>
          </w:p>
        </w:tc>
      </w:tr>
      <w:tr w:rsidR="000B6730" w:rsidRPr="000B6730" w14:paraId="272E57FE" w14:textId="77777777" w:rsidTr="000B6730">
        <w:trPr>
          <w:trHeight w:val="828"/>
          <w:jc w:val="center"/>
        </w:trPr>
        <w:tc>
          <w:tcPr>
            <w:tcW w:w="1420" w:type="dxa"/>
            <w:tcBorders>
              <w:top w:val="nil"/>
              <w:left w:val="single" w:sz="4" w:space="0" w:color="auto"/>
              <w:bottom w:val="single" w:sz="4" w:space="0" w:color="auto"/>
              <w:right w:val="single" w:sz="4" w:space="0" w:color="auto"/>
            </w:tcBorders>
            <w:vAlign w:val="center"/>
            <w:hideMark/>
          </w:tcPr>
          <w:p w14:paraId="54150FD3"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ΔSOM (%)</w:t>
            </w:r>
          </w:p>
        </w:tc>
        <w:tc>
          <w:tcPr>
            <w:tcW w:w="2320" w:type="dxa"/>
            <w:tcBorders>
              <w:top w:val="nil"/>
              <w:left w:val="nil"/>
              <w:bottom w:val="single" w:sz="4" w:space="0" w:color="auto"/>
              <w:right w:val="single" w:sz="4" w:space="0" w:color="auto"/>
            </w:tcBorders>
            <w:vAlign w:val="center"/>
            <w:hideMark/>
          </w:tcPr>
          <w:p w14:paraId="470D00B2"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-0.7</w:t>
            </w:r>
          </w:p>
        </w:tc>
        <w:tc>
          <w:tcPr>
            <w:tcW w:w="1660" w:type="dxa"/>
            <w:tcBorders>
              <w:top w:val="nil"/>
              <w:left w:val="nil"/>
              <w:bottom w:val="single" w:sz="4" w:space="0" w:color="auto"/>
              <w:right w:val="single" w:sz="4" w:space="0" w:color="auto"/>
            </w:tcBorders>
            <w:vAlign w:val="center"/>
            <w:hideMark/>
          </w:tcPr>
          <w:p w14:paraId="58E08DD8"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0.5</w:t>
            </w:r>
          </w:p>
        </w:tc>
        <w:tc>
          <w:tcPr>
            <w:tcW w:w="1600" w:type="dxa"/>
            <w:tcBorders>
              <w:top w:val="nil"/>
              <w:left w:val="nil"/>
              <w:bottom w:val="single" w:sz="4" w:space="0" w:color="auto"/>
              <w:right w:val="single" w:sz="4" w:space="0" w:color="auto"/>
            </w:tcBorders>
            <w:vAlign w:val="center"/>
            <w:hideMark/>
          </w:tcPr>
          <w:p w14:paraId="39AE87DD"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1.2</w:t>
            </w:r>
          </w:p>
        </w:tc>
        <w:tc>
          <w:tcPr>
            <w:tcW w:w="1780" w:type="dxa"/>
            <w:tcBorders>
              <w:top w:val="nil"/>
              <w:left w:val="nil"/>
              <w:bottom w:val="single" w:sz="4" w:space="0" w:color="auto"/>
              <w:right w:val="single" w:sz="4" w:space="0" w:color="auto"/>
            </w:tcBorders>
            <w:vAlign w:val="center"/>
            <w:hideMark/>
          </w:tcPr>
          <w:p w14:paraId="779EEE71"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Improved soil health</w:t>
            </w:r>
          </w:p>
        </w:tc>
      </w:tr>
      <w:tr w:rsidR="000B6730" w:rsidRPr="000B6730" w14:paraId="7E21AFD3" w14:textId="77777777" w:rsidTr="000B6730">
        <w:trPr>
          <w:trHeight w:val="1104"/>
          <w:jc w:val="center"/>
        </w:trPr>
        <w:tc>
          <w:tcPr>
            <w:tcW w:w="1420" w:type="dxa"/>
            <w:tcBorders>
              <w:top w:val="nil"/>
              <w:left w:val="single" w:sz="4" w:space="0" w:color="auto"/>
              <w:bottom w:val="single" w:sz="4" w:space="0" w:color="auto"/>
              <w:right w:val="single" w:sz="4" w:space="0" w:color="auto"/>
            </w:tcBorders>
            <w:vAlign w:val="center"/>
            <w:hideMark/>
          </w:tcPr>
          <w:p w14:paraId="37F27754"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Synthetic EI (norm.)</w:t>
            </w:r>
          </w:p>
        </w:tc>
        <w:tc>
          <w:tcPr>
            <w:tcW w:w="2320" w:type="dxa"/>
            <w:tcBorders>
              <w:top w:val="nil"/>
              <w:left w:val="nil"/>
              <w:bottom w:val="single" w:sz="4" w:space="0" w:color="auto"/>
              <w:right w:val="single" w:sz="4" w:space="0" w:color="auto"/>
            </w:tcBorders>
            <w:vAlign w:val="center"/>
            <w:hideMark/>
          </w:tcPr>
          <w:p w14:paraId="6BD89300"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0.84</w:t>
            </w:r>
          </w:p>
        </w:tc>
        <w:tc>
          <w:tcPr>
            <w:tcW w:w="1660" w:type="dxa"/>
            <w:tcBorders>
              <w:top w:val="nil"/>
              <w:left w:val="nil"/>
              <w:bottom w:val="single" w:sz="4" w:space="0" w:color="auto"/>
              <w:right w:val="single" w:sz="4" w:space="0" w:color="auto"/>
            </w:tcBorders>
            <w:vAlign w:val="center"/>
            <w:hideMark/>
          </w:tcPr>
          <w:p w14:paraId="6E8C5DC2"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0.58</w:t>
            </w:r>
          </w:p>
        </w:tc>
        <w:tc>
          <w:tcPr>
            <w:tcW w:w="1600" w:type="dxa"/>
            <w:tcBorders>
              <w:top w:val="nil"/>
              <w:left w:val="nil"/>
              <w:bottom w:val="single" w:sz="4" w:space="0" w:color="auto"/>
              <w:right w:val="single" w:sz="4" w:space="0" w:color="auto"/>
            </w:tcBorders>
            <w:vAlign w:val="center"/>
            <w:hideMark/>
          </w:tcPr>
          <w:p w14:paraId="19F5D7EF"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-30.9</w:t>
            </w:r>
          </w:p>
        </w:tc>
        <w:tc>
          <w:tcPr>
            <w:tcW w:w="1780" w:type="dxa"/>
            <w:tcBorders>
              <w:top w:val="nil"/>
              <w:left w:val="nil"/>
              <w:bottom w:val="single" w:sz="4" w:space="0" w:color="auto"/>
              <w:right w:val="single" w:sz="4" w:space="0" w:color="auto"/>
            </w:tcBorders>
            <w:vAlign w:val="center"/>
            <w:hideMark/>
          </w:tcPr>
          <w:p w14:paraId="0769BA6E"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Composite pressure index</w:t>
            </w:r>
          </w:p>
        </w:tc>
      </w:tr>
      <w:tr w:rsidR="000B6730" w:rsidRPr="000B6730" w14:paraId="375AAF88" w14:textId="77777777" w:rsidTr="000B6730">
        <w:trPr>
          <w:trHeight w:val="1380"/>
          <w:jc w:val="center"/>
        </w:trPr>
        <w:tc>
          <w:tcPr>
            <w:tcW w:w="1420" w:type="dxa"/>
            <w:tcBorders>
              <w:top w:val="nil"/>
              <w:left w:val="single" w:sz="4" w:space="0" w:color="auto"/>
              <w:bottom w:val="single" w:sz="4" w:space="0" w:color="auto"/>
              <w:right w:val="single" w:sz="4" w:space="0" w:color="auto"/>
            </w:tcBorders>
            <w:vAlign w:val="center"/>
            <w:hideMark/>
          </w:tcPr>
          <w:p w14:paraId="6D6335C0"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EE (BGN/EI)</w:t>
            </w:r>
          </w:p>
        </w:tc>
        <w:tc>
          <w:tcPr>
            <w:tcW w:w="2320" w:type="dxa"/>
            <w:tcBorders>
              <w:top w:val="nil"/>
              <w:left w:val="nil"/>
              <w:bottom w:val="single" w:sz="4" w:space="0" w:color="auto"/>
              <w:right w:val="single" w:sz="4" w:space="0" w:color="auto"/>
            </w:tcBorders>
            <w:vAlign w:val="center"/>
            <w:hideMark/>
          </w:tcPr>
          <w:p w14:paraId="1211E995"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2.62</w:t>
            </w:r>
          </w:p>
        </w:tc>
        <w:tc>
          <w:tcPr>
            <w:tcW w:w="1660" w:type="dxa"/>
            <w:tcBorders>
              <w:top w:val="nil"/>
              <w:left w:val="nil"/>
              <w:bottom w:val="single" w:sz="4" w:space="0" w:color="auto"/>
              <w:right w:val="single" w:sz="4" w:space="0" w:color="auto"/>
            </w:tcBorders>
            <w:vAlign w:val="center"/>
            <w:hideMark/>
          </w:tcPr>
          <w:p w14:paraId="543AC315"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4.4</w:t>
            </w:r>
          </w:p>
        </w:tc>
        <w:tc>
          <w:tcPr>
            <w:tcW w:w="1600" w:type="dxa"/>
            <w:tcBorders>
              <w:top w:val="nil"/>
              <w:left w:val="nil"/>
              <w:bottom w:val="single" w:sz="4" w:space="0" w:color="auto"/>
              <w:right w:val="single" w:sz="4" w:space="0" w:color="auto"/>
            </w:tcBorders>
            <w:vAlign w:val="center"/>
            <w:hideMark/>
          </w:tcPr>
          <w:p w14:paraId="6D5AE12E"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67.9</w:t>
            </w:r>
          </w:p>
        </w:tc>
        <w:tc>
          <w:tcPr>
            <w:tcW w:w="1780" w:type="dxa"/>
            <w:tcBorders>
              <w:top w:val="nil"/>
              <w:left w:val="nil"/>
              <w:bottom w:val="single" w:sz="4" w:space="0" w:color="auto"/>
              <w:right w:val="single" w:sz="4" w:space="0" w:color="auto"/>
            </w:tcBorders>
            <w:vAlign w:val="center"/>
            <w:hideMark/>
          </w:tcPr>
          <w:p w14:paraId="527D98C5"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Very strong increase in efficiency</w:t>
            </w:r>
          </w:p>
        </w:tc>
      </w:tr>
      <w:tr w:rsidR="000B6730" w:rsidRPr="000B6730" w14:paraId="07D21A38" w14:textId="77777777" w:rsidTr="000B6730">
        <w:trPr>
          <w:trHeight w:val="828"/>
          <w:jc w:val="center"/>
        </w:trPr>
        <w:tc>
          <w:tcPr>
            <w:tcW w:w="1420" w:type="dxa"/>
            <w:tcBorders>
              <w:top w:val="nil"/>
              <w:left w:val="single" w:sz="4" w:space="0" w:color="auto"/>
              <w:bottom w:val="single" w:sz="4" w:space="0" w:color="auto"/>
              <w:right w:val="single" w:sz="4" w:space="0" w:color="auto"/>
            </w:tcBorders>
            <w:vAlign w:val="center"/>
            <w:hideMark/>
          </w:tcPr>
          <w:p w14:paraId="2D0CD8D0"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lastRenderedPageBreak/>
              <w:t>ΔEE</w:t>
            </w:r>
          </w:p>
        </w:tc>
        <w:tc>
          <w:tcPr>
            <w:tcW w:w="2320" w:type="dxa"/>
            <w:tcBorders>
              <w:top w:val="nil"/>
              <w:left w:val="nil"/>
              <w:bottom w:val="single" w:sz="4" w:space="0" w:color="auto"/>
              <w:right w:val="single" w:sz="4" w:space="0" w:color="auto"/>
            </w:tcBorders>
            <w:vAlign w:val="center"/>
            <w:hideMark/>
          </w:tcPr>
          <w:p w14:paraId="60E66652"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w:t>
            </w:r>
          </w:p>
        </w:tc>
        <w:tc>
          <w:tcPr>
            <w:tcW w:w="1660" w:type="dxa"/>
            <w:tcBorders>
              <w:top w:val="nil"/>
              <w:left w:val="nil"/>
              <w:bottom w:val="single" w:sz="4" w:space="0" w:color="auto"/>
              <w:right w:val="single" w:sz="4" w:space="0" w:color="auto"/>
            </w:tcBorders>
            <w:vAlign w:val="center"/>
            <w:hideMark/>
          </w:tcPr>
          <w:p w14:paraId="01F051ED"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1.68</w:t>
            </w:r>
          </w:p>
        </w:tc>
        <w:tc>
          <w:tcPr>
            <w:tcW w:w="1600" w:type="dxa"/>
            <w:tcBorders>
              <w:top w:val="nil"/>
              <w:left w:val="nil"/>
              <w:bottom w:val="single" w:sz="4" w:space="0" w:color="auto"/>
              <w:right w:val="single" w:sz="4" w:space="0" w:color="auto"/>
            </w:tcBorders>
            <w:vAlign w:val="center"/>
            <w:hideMark/>
          </w:tcPr>
          <w:p w14:paraId="7B83A76B"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68</w:t>
            </w:r>
          </w:p>
        </w:tc>
        <w:tc>
          <w:tcPr>
            <w:tcW w:w="1780" w:type="dxa"/>
            <w:tcBorders>
              <w:top w:val="nil"/>
              <w:left w:val="nil"/>
              <w:bottom w:val="single" w:sz="4" w:space="0" w:color="auto"/>
              <w:right w:val="single" w:sz="4" w:space="0" w:color="auto"/>
            </w:tcBorders>
            <w:vAlign w:val="center"/>
            <w:hideMark/>
          </w:tcPr>
          <w:p w14:paraId="04BAA82B"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sz w:val="22"/>
                <w:szCs w:val="22"/>
                <w14:ligatures w14:val="none"/>
              </w:rPr>
            </w:pPr>
            <w:r w:rsidRPr="000B6730">
              <w:rPr>
                <w:rFonts w:ascii="Times New Roman" w:eastAsia="Times New Roman" w:hAnsi="Times New Roman" w:cs="Times New Roman"/>
                <w:color w:val="1F1F1F"/>
                <w:kern w:val="0"/>
                <w:sz w:val="22"/>
                <w:szCs w:val="22"/>
                <w14:ligatures w14:val="none"/>
              </w:rPr>
              <w:t>Strongly positive change</w:t>
            </w:r>
          </w:p>
        </w:tc>
      </w:tr>
    </w:tbl>
    <w:p w14:paraId="7A5847B9" w14:textId="77777777" w:rsidR="000B6730" w:rsidRPr="001E285D" w:rsidRDefault="000B6730" w:rsidP="000B6730">
      <w:pPr>
        <w:spacing w:line="360" w:lineRule="auto"/>
        <w:jc w:val="center"/>
        <w:rPr>
          <w:rFonts w:ascii="Times New Roman" w:hAnsi="Times New Roman" w:cs="Times New Roman"/>
          <w:lang w:val="bg-BG"/>
        </w:rPr>
      </w:pPr>
      <w:r w:rsidRPr="001E285D">
        <w:rPr>
          <w:rFonts w:ascii="Times New Roman" w:hAnsi="Times New Roman" w:cs="Times New Roman"/>
        </w:rPr>
        <w:t>Source: Own calculations</w:t>
      </w:r>
    </w:p>
    <w:p w14:paraId="4A3A81B7" w14:textId="77777777" w:rsidR="000B6730" w:rsidRPr="000B6730" w:rsidRDefault="000B6730" w:rsidP="000B6730">
      <w:pPr>
        <w:spacing w:line="360" w:lineRule="auto"/>
        <w:ind w:firstLine="720"/>
        <w:jc w:val="both"/>
        <w:rPr>
          <w:rFonts w:ascii="Times New Roman" w:hAnsi="Times New Roman" w:cs="Times New Roman"/>
        </w:rPr>
      </w:pPr>
      <w:r w:rsidRPr="000B6730">
        <w:rPr>
          <w:rFonts w:ascii="Times New Roman" w:hAnsi="Times New Roman" w:cs="Times New Roman"/>
        </w:rPr>
        <w:t>The next part of the chapter is dedicated to the analysis of sustainable practices for increasing economic efficiency through a survey and focus groups. The general characteristics of the surveyed farms are presented in the following table:</w:t>
      </w:r>
    </w:p>
    <w:p w14:paraId="418F3215" w14:textId="77777777" w:rsidR="000B6730" w:rsidRDefault="000B6730" w:rsidP="000B6730">
      <w:pPr>
        <w:spacing w:line="360" w:lineRule="auto"/>
        <w:ind w:firstLine="720"/>
        <w:jc w:val="center"/>
        <w:rPr>
          <w:rFonts w:ascii="Times New Roman" w:hAnsi="Times New Roman" w:cs="Times New Roman"/>
        </w:rPr>
      </w:pPr>
      <w:r w:rsidRPr="000B6730">
        <w:rPr>
          <w:rFonts w:ascii="Times New Roman" w:hAnsi="Times New Roman" w:cs="Times New Roman"/>
        </w:rPr>
        <w:t>Table 28. General characteristics of the surveyed farms</w:t>
      </w:r>
    </w:p>
    <w:tbl>
      <w:tblPr>
        <w:tblW w:w="7720" w:type="dxa"/>
        <w:jc w:val="center"/>
        <w:tblLook w:val="04A0" w:firstRow="1" w:lastRow="0" w:firstColumn="1" w:lastColumn="0" w:noHBand="0" w:noVBand="1"/>
      </w:tblPr>
      <w:tblGrid>
        <w:gridCol w:w="2300"/>
        <w:gridCol w:w="2720"/>
        <w:gridCol w:w="920"/>
        <w:gridCol w:w="1780"/>
      </w:tblGrid>
      <w:tr w:rsidR="000B6730" w:rsidRPr="000B6730" w14:paraId="1D0450D0" w14:textId="77777777" w:rsidTr="000B6730">
        <w:trPr>
          <w:trHeight w:val="312"/>
          <w:jc w:val="center"/>
        </w:trPr>
        <w:tc>
          <w:tcPr>
            <w:tcW w:w="2300" w:type="dxa"/>
            <w:tcBorders>
              <w:top w:val="single" w:sz="4" w:space="0" w:color="auto"/>
              <w:left w:val="single" w:sz="4" w:space="0" w:color="auto"/>
              <w:bottom w:val="single" w:sz="4" w:space="0" w:color="auto"/>
              <w:right w:val="single" w:sz="4" w:space="0" w:color="auto"/>
            </w:tcBorders>
            <w:vAlign w:val="center"/>
            <w:hideMark/>
          </w:tcPr>
          <w:p w14:paraId="3AE43717"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14:ligatures w14:val="none"/>
              </w:rPr>
            </w:pPr>
            <w:r w:rsidRPr="000B6730">
              <w:rPr>
                <w:rFonts w:ascii="Times New Roman" w:eastAsia="Times New Roman" w:hAnsi="Times New Roman" w:cs="Times New Roman"/>
                <w:b/>
                <w:bCs/>
                <w:color w:val="1F1F1F"/>
                <w:kern w:val="0"/>
                <w14:ligatures w14:val="none"/>
              </w:rPr>
              <w:t>Indicator</w:t>
            </w:r>
          </w:p>
        </w:tc>
        <w:tc>
          <w:tcPr>
            <w:tcW w:w="2720" w:type="dxa"/>
            <w:tcBorders>
              <w:top w:val="single" w:sz="4" w:space="0" w:color="auto"/>
              <w:left w:val="nil"/>
              <w:bottom w:val="single" w:sz="4" w:space="0" w:color="auto"/>
              <w:right w:val="single" w:sz="4" w:space="0" w:color="auto"/>
            </w:tcBorders>
            <w:vAlign w:val="center"/>
            <w:hideMark/>
          </w:tcPr>
          <w:p w14:paraId="60224D90"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14:ligatures w14:val="none"/>
              </w:rPr>
            </w:pPr>
            <w:r w:rsidRPr="000B6730">
              <w:rPr>
                <w:rFonts w:ascii="Times New Roman" w:eastAsia="Times New Roman" w:hAnsi="Times New Roman" w:cs="Times New Roman"/>
                <w:b/>
                <w:bCs/>
                <w:color w:val="1F1F1F"/>
                <w:kern w:val="0"/>
                <w14:ligatures w14:val="none"/>
              </w:rPr>
              <w:t>Category/Response</w:t>
            </w:r>
          </w:p>
        </w:tc>
        <w:tc>
          <w:tcPr>
            <w:tcW w:w="920" w:type="dxa"/>
            <w:tcBorders>
              <w:top w:val="single" w:sz="4" w:space="0" w:color="auto"/>
              <w:left w:val="nil"/>
              <w:bottom w:val="single" w:sz="4" w:space="0" w:color="auto"/>
              <w:right w:val="single" w:sz="4" w:space="0" w:color="auto"/>
            </w:tcBorders>
            <w:vAlign w:val="center"/>
            <w:hideMark/>
          </w:tcPr>
          <w:p w14:paraId="1F066FD8"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14:ligatures w14:val="none"/>
              </w:rPr>
            </w:pPr>
            <w:r w:rsidRPr="000B6730">
              <w:rPr>
                <w:rFonts w:ascii="Times New Roman" w:eastAsia="Times New Roman" w:hAnsi="Times New Roman" w:cs="Times New Roman"/>
                <w:b/>
                <w:bCs/>
                <w:color w:val="1F1F1F"/>
                <w:kern w:val="0"/>
                <w14:ligatures w14:val="none"/>
              </w:rPr>
              <w:t>Count</w:t>
            </w:r>
          </w:p>
        </w:tc>
        <w:tc>
          <w:tcPr>
            <w:tcW w:w="1780" w:type="dxa"/>
            <w:tcBorders>
              <w:top w:val="single" w:sz="4" w:space="0" w:color="auto"/>
              <w:left w:val="nil"/>
              <w:bottom w:val="single" w:sz="4" w:space="0" w:color="auto"/>
              <w:right w:val="single" w:sz="4" w:space="0" w:color="auto"/>
            </w:tcBorders>
            <w:vAlign w:val="center"/>
            <w:hideMark/>
          </w:tcPr>
          <w:p w14:paraId="54FD85D6"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14:ligatures w14:val="none"/>
              </w:rPr>
            </w:pPr>
            <w:r w:rsidRPr="000B6730">
              <w:rPr>
                <w:rFonts w:ascii="Times New Roman" w:eastAsia="Times New Roman" w:hAnsi="Times New Roman" w:cs="Times New Roman"/>
                <w:b/>
                <w:bCs/>
                <w:color w:val="1F1F1F"/>
                <w:kern w:val="0"/>
                <w14:ligatures w14:val="none"/>
              </w:rPr>
              <w:t>Share (%)</w:t>
            </w:r>
          </w:p>
        </w:tc>
      </w:tr>
      <w:tr w:rsidR="000B6730" w:rsidRPr="000B6730" w14:paraId="34E607B0" w14:textId="77777777" w:rsidTr="000B6730">
        <w:trPr>
          <w:trHeight w:val="312"/>
          <w:jc w:val="center"/>
        </w:trPr>
        <w:tc>
          <w:tcPr>
            <w:tcW w:w="2300" w:type="dxa"/>
            <w:vMerge w:val="restart"/>
            <w:tcBorders>
              <w:top w:val="nil"/>
              <w:left w:val="single" w:sz="4" w:space="0" w:color="auto"/>
              <w:bottom w:val="single" w:sz="4" w:space="0" w:color="auto"/>
              <w:right w:val="single" w:sz="4" w:space="0" w:color="auto"/>
            </w:tcBorders>
            <w:vAlign w:val="center"/>
            <w:hideMark/>
          </w:tcPr>
          <w:p w14:paraId="499D0EE2"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14:ligatures w14:val="none"/>
              </w:rPr>
            </w:pPr>
            <w:r w:rsidRPr="000B6730">
              <w:rPr>
                <w:rFonts w:ascii="Times New Roman" w:eastAsia="Times New Roman" w:hAnsi="Times New Roman" w:cs="Times New Roman"/>
                <w:b/>
                <w:bCs/>
                <w:color w:val="1F1F1F"/>
                <w:kern w:val="0"/>
                <w14:ligatures w14:val="none"/>
              </w:rPr>
              <w:t>Farm size</w:t>
            </w:r>
          </w:p>
        </w:tc>
        <w:tc>
          <w:tcPr>
            <w:tcW w:w="2720" w:type="dxa"/>
            <w:tcBorders>
              <w:top w:val="nil"/>
              <w:left w:val="nil"/>
              <w:bottom w:val="single" w:sz="4" w:space="0" w:color="auto"/>
              <w:right w:val="single" w:sz="4" w:space="0" w:color="auto"/>
            </w:tcBorders>
            <w:vAlign w:val="center"/>
            <w:hideMark/>
          </w:tcPr>
          <w:p w14:paraId="2950CD58"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Micro (up to 5 ha)</w:t>
            </w:r>
          </w:p>
        </w:tc>
        <w:tc>
          <w:tcPr>
            <w:tcW w:w="920" w:type="dxa"/>
            <w:tcBorders>
              <w:top w:val="nil"/>
              <w:left w:val="nil"/>
              <w:bottom w:val="single" w:sz="4" w:space="0" w:color="auto"/>
              <w:right w:val="single" w:sz="4" w:space="0" w:color="auto"/>
            </w:tcBorders>
            <w:vAlign w:val="center"/>
            <w:hideMark/>
          </w:tcPr>
          <w:p w14:paraId="1BE26942"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13</w:t>
            </w:r>
          </w:p>
        </w:tc>
        <w:tc>
          <w:tcPr>
            <w:tcW w:w="1780" w:type="dxa"/>
            <w:tcBorders>
              <w:top w:val="nil"/>
              <w:left w:val="nil"/>
              <w:bottom w:val="single" w:sz="4" w:space="0" w:color="auto"/>
              <w:right w:val="single" w:sz="4" w:space="0" w:color="auto"/>
            </w:tcBorders>
            <w:vAlign w:val="center"/>
            <w:hideMark/>
          </w:tcPr>
          <w:p w14:paraId="57ECDCF8"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14.1</w:t>
            </w:r>
          </w:p>
        </w:tc>
      </w:tr>
      <w:tr w:rsidR="000B6730" w:rsidRPr="000B6730" w14:paraId="790E4663"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77C1AC7F"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5C0381DD"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Small (5–20 ha)</w:t>
            </w:r>
          </w:p>
        </w:tc>
        <w:tc>
          <w:tcPr>
            <w:tcW w:w="920" w:type="dxa"/>
            <w:tcBorders>
              <w:top w:val="nil"/>
              <w:left w:val="nil"/>
              <w:bottom w:val="single" w:sz="4" w:space="0" w:color="auto"/>
              <w:right w:val="single" w:sz="4" w:space="0" w:color="auto"/>
            </w:tcBorders>
            <w:vAlign w:val="center"/>
            <w:hideMark/>
          </w:tcPr>
          <w:p w14:paraId="0D99F3B3"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17</w:t>
            </w:r>
          </w:p>
        </w:tc>
        <w:tc>
          <w:tcPr>
            <w:tcW w:w="1780" w:type="dxa"/>
            <w:tcBorders>
              <w:top w:val="nil"/>
              <w:left w:val="nil"/>
              <w:bottom w:val="single" w:sz="4" w:space="0" w:color="auto"/>
              <w:right w:val="single" w:sz="4" w:space="0" w:color="auto"/>
            </w:tcBorders>
            <w:vAlign w:val="center"/>
            <w:hideMark/>
          </w:tcPr>
          <w:p w14:paraId="6626C988"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18.5</w:t>
            </w:r>
          </w:p>
        </w:tc>
      </w:tr>
      <w:tr w:rsidR="000B6730" w:rsidRPr="000B6730" w14:paraId="414F21A8"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33AF37F4"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64026C5F"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Medium (20–100 ha)</w:t>
            </w:r>
          </w:p>
        </w:tc>
        <w:tc>
          <w:tcPr>
            <w:tcW w:w="920" w:type="dxa"/>
            <w:tcBorders>
              <w:top w:val="nil"/>
              <w:left w:val="nil"/>
              <w:bottom w:val="single" w:sz="4" w:space="0" w:color="auto"/>
              <w:right w:val="single" w:sz="4" w:space="0" w:color="auto"/>
            </w:tcBorders>
            <w:vAlign w:val="center"/>
            <w:hideMark/>
          </w:tcPr>
          <w:p w14:paraId="4C046575"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20</w:t>
            </w:r>
          </w:p>
        </w:tc>
        <w:tc>
          <w:tcPr>
            <w:tcW w:w="1780" w:type="dxa"/>
            <w:tcBorders>
              <w:top w:val="nil"/>
              <w:left w:val="nil"/>
              <w:bottom w:val="single" w:sz="4" w:space="0" w:color="auto"/>
              <w:right w:val="single" w:sz="4" w:space="0" w:color="auto"/>
            </w:tcBorders>
            <w:vAlign w:val="center"/>
            <w:hideMark/>
          </w:tcPr>
          <w:p w14:paraId="5FB51763"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21.7</w:t>
            </w:r>
          </w:p>
        </w:tc>
      </w:tr>
      <w:tr w:rsidR="000B6730" w:rsidRPr="000B6730" w14:paraId="4754D40D"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13CB0B11"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6F744744"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Large (100–500 ha)</w:t>
            </w:r>
          </w:p>
        </w:tc>
        <w:tc>
          <w:tcPr>
            <w:tcW w:w="920" w:type="dxa"/>
            <w:tcBorders>
              <w:top w:val="nil"/>
              <w:left w:val="nil"/>
              <w:bottom w:val="single" w:sz="4" w:space="0" w:color="auto"/>
              <w:right w:val="single" w:sz="4" w:space="0" w:color="auto"/>
            </w:tcBorders>
            <w:vAlign w:val="center"/>
            <w:hideMark/>
          </w:tcPr>
          <w:p w14:paraId="5ADEEF77"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24</w:t>
            </w:r>
          </w:p>
        </w:tc>
        <w:tc>
          <w:tcPr>
            <w:tcW w:w="1780" w:type="dxa"/>
            <w:tcBorders>
              <w:top w:val="nil"/>
              <w:left w:val="nil"/>
              <w:bottom w:val="single" w:sz="4" w:space="0" w:color="auto"/>
              <w:right w:val="single" w:sz="4" w:space="0" w:color="auto"/>
            </w:tcBorders>
            <w:vAlign w:val="center"/>
            <w:hideMark/>
          </w:tcPr>
          <w:p w14:paraId="35959A7F"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26.1</w:t>
            </w:r>
          </w:p>
        </w:tc>
      </w:tr>
      <w:tr w:rsidR="000B6730" w:rsidRPr="000B6730" w14:paraId="08E4EE4E"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1C57CF5E"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6FBAF80D"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Very large (over 500 ha)</w:t>
            </w:r>
          </w:p>
        </w:tc>
        <w:tc>
          <w:tcPr>
            <w:tcW w:w="920" w:type="dxa"/>
            <w:tcBorders>
              <w:top w:val="nil"/>
              <w:left w:val="nil"/>
              <w:bottom w:val="single" w:sz="4" w:space="0" w:color="auto"/>
              <w:right w:val="single" w:sz="4" w:space="0" w:color="auto"/>
            </w:tcBorders>
            <w:vAlign w:val="center"/>
            <w:hideMark/>
          </w:tcPr>
          <w:p w14:paraId="72CAFFAF"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18</w:t>
            </w:r>
          </w:p>
        </w:tc>
        <w:tc>
          <w:tcPr>
            <w:tcW w:w="1780" w:type="dxa"/>
            <w:tcBorders>
              <w:top w:val="nil"/>
              <w:left w:val="nil"/>
              <w:bottom w:val="single" w:sz="4" w:space="0" w:color="auto"/>
              <w:right w:val="single" w:sz="4" w:space="0" w:color="auto"/>
            </w:tcBorders>
            <w:vAlign w:val="center"/>
            <w:hideMark/>
          </w:tcPr>
          <w:p w14:paraId="70BFCB3E"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19.6</w:t>
            </w:r>
          </w:p>
        </w:tc>
      </w:tr>
      <w:tr w:rsidR="000B6730" w:rsidRPr="000B6730" w14:paraId="2763BDD0" w14:textId="77777777" w:rsidTr="000B6730">
        <w:trPr>
          <w:trHeight w:val="564"/>
          <w:jc w:val="center"/>
        </w:trPr>
        <w:tc>
          <w:tcPr>
            <w:tcW w:w="2300" w:type="dxa"/>
            <w:vMerge w:val="restart"/>
            <w:tcBorders>
              <w:top w:val="nil"/>
              <w:left w:val="single" w:sz="4" w:space="0" w:color="auto"/>
              <w:bottom w:val="single" w:sz="4" w:space="0" w:color="auto"/>
              <w:right w:val="single" w:sz="4" w:space="0" w:color="auto"/>
            </w:tcBorders>
            <w:vAlign w:val="center"/>
            <w:hideMark/>
          </w:tcPr>
          <w:p w14:paraId="5196E5A6"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14:ligatures w14:val="none"/>
              </w:rPr>
            </w:pPr>
            <w:r w:rsidRPr="000B6730">
              <w:rPr>
                <w:rFonts w:ascii="Times New Roman" w:eastAsia="Times New Roman" w:hAnsi="Times New Roman" w:cs="Times New Roman"/>
                <w:b/>
                <w:bCs/>
                <w:color w:val="1F1F1F"/>
                <w:kern w:val="0"/>
                <w14:ligatures w14:val="none"/>
              </w:rPr>
              <w:t>NUTS-2 Region</w:t>
            </w:r>
          </w:p>
        </w:tc>
        <w:tc>
          <w:tcPr>
            <w:tcW w:w="2720" w:type="dxa"/>
            <w:tcBorders>
              <w:top w:val="nil"/>
              <w:left w:val="nil"/>
              <w:bottom w:val="single" w:sz="4" w:space="0" w:color="auto"/>
              <w:right w:val="single" w:sz="4" w:space="0" w:color="auto"/>
            </w:tcBorders>
            <w:vAlign w:val="center"/>
            <w:hideMark/>
          </w:tcPr>
          <w:p w14:paraId="24F4FDCE"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Northwest (BG31)</w:t>
            </w:r>
          </w:p>
        </w:tc>
        <w:tc>
          <w:tcPr>
            <w:tcW w:w="920" w:type="dxa"/>
            <w:tcBorders>
              <w:top w:val="nil"/>
              <w:left w:val="nil"/>
              <w:bottom w:val="single" w:sz="4" w:space="0" w:color="auto"/>
              <w:right w:val="single" w:sz="4" w:space="0" w:color="auto"/>
            </w:tcBorders>
            <w:vAlign w:val="center"/>
            <w:hideMark/>
          </w:tcPr>
          <w:p w14:paraId="65B97BE9"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14</w:t>
            </w:r>
          </w:p>
        </w:tc>
        <w:tc>
          <w:tcPr>
            <w:tcW w:w="1780" w:type="dxa"/>
            <w:tcBorders>
              <w:top w:val="nil"/>
              <w:left w:val="nil"/>
              <w:bottom w:val="single" w:sz="4" w:space="0" w:color="auto"/>
              <w:right w:val="single" w:sz="4" w:space="0" w:color="auto"/>
            </w:tcBorders>
            <w:vAlign w:val="center"/>
            <w:hideMark/>
          </w:tcPr>
          <w:p w14:paraId="17D37CB4"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15.2</w:t>
            </w:r>
          </w:p>
        </w:tc>
      </w:tr>
      <w:tr w:rsidR="000B6730" w:rsidRPr="000B6730" w14:paraId="3FB2625A"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3875A5C9"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1465E5F7"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North Central (BG32)</w:t>
            </w:r>
          </w:p>
        </w:tc>
        <w:tc>
          <w:tcPr>
            <w:tcW w:w="920" w:type="dxa"/>
            <w:tcBorders>
              <w:top w:val="nil"/>
              <w:left w:val="nil"/>
              <w:bottom w:val="single" w:sz="4" w:space="0" w:color="auto"/>
              <w:right w:val="single" w:sz="4" w:space="0" w:color="auto"/>
            </w:tcBorders>
            <w:vAlign w:val="center"/>
            <w:hideMark/>
          </w:tcPr>
          <w:p w14:paraId="2433F552"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16</w:t>
            </w:r>
          </w:p>
        </w:tc>
        <w:tc>
          <w:tcPr>
            <w:tcW w:w="1780" w:type="dxa"/>
            <w:tcBorders>
              <w:top w:val="nil"/>
              <w:left w:val="nil"/>
              <w:bottom w:val="single" w:sz="4" w:space="0" w:color="auto"/>
              <w:right w:val="single" w:sz="4" w:space="0" w:color="auto"/>
            </w:tcBorders>
            <w:vAlign w:val="center"/>
            <w:hideMark/>
          </w:tcPr>
          <w:p w14:paraId="7857144A"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17.4</w:t>
            </w:r>
          </w:p>
        </w:tc>
      </w:tr>
      <w:tr w:rsidR="000B6730" w:rsidRPr="000B6730" w14:paraId="3E11CA4C"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3974001F"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32356E8B"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Northeast (BG33)</w:t>
            </w:r>
          </w:p>
        </w:tc>
        <w:tc>
          <w:tcPr>
            <w:tcW w:w="920" w:type="dxa"/>
            <w:tcBorders>
              <w:top w:val="nil"/>
              <w:left w:val="nil"/>
              <w:bottom w:val="single" w:sz="4" w:space="0" w:color="auto"/>
              <w:right w:val="single" w:sz="4" w:space="0" w:color="auto"/>
            </w:tcBorders>
            <w:vAlign w:val="center"/>
            <w:hideMark/>
          </w:tcPr>
          <w:p w14:paraId="46DE96B3"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15</w:t>
            </w:r>
          </w:p>
        </w:tc>
        <w:tc>
          <w:tcPr>
            <w:tcW w:w="1780" w:type="dxa"/>
            <w:tcBorders>
              <w:top w:val="nil"/>
              <w:left w:val="nil"/>
              <w:bottom w:val="single" w:sz="4" w:space="0" w:color="auto"/>
              <w:right w:val="single" w:sz="4" w:space="0" w:color="auto"/>
            </w:tcBorders>
            <w:vAlign w:val="center"/>
            <w:hideMark/>
          </w:tcPr>
          <w:p w14:paraId="64482073"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16.3</w:t>
            </w:r>
          </w:p>
        </w:tc>
      </w:tr>
      <w:tr w:rsidR="000B6730" w:rsidRPr="000B6730" w14:paraId="72C54274"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4B8A9C60"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1F9DF5C1"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Southwest (BG41)</w:t>
            </w:r>
          </w:p>
        </w:tc>
        <w:tc>
          <w:tcPr>
            <w:tcW w:w="920" w:type="dxa"/>
            <w:tcBorders>
              <w:top w:val="nil"/>
              <w:left w:val="nil"/>
              <w:bottom w:val="single" w:sz="4" w:space="0" w:color="auto"/>
              <w:right w:val="single" w:sz="4" w:space="0" w:color="auto"/>
            </w:tcBorders>
            <w:vAlign w:val="center"/>
            <w:hideMark/>
          </w:tcPr>
          <w:p w14:paraId="09E9AFA7"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14</w:t>
            </w:r>
          </w:p>
        </w:tc>
        <w:tc>
          <w:tcPr>
            <w:tcW w:w="1780" w:type="dxa"/>
            <w:tcBorders>
              <w:top w:val="nil"/>
              <w:left w:val="nil"/>
              <w:bottom w:val="single" w:sz="4" w:space="0" w:color="auto"/>
              <w:right w:val="single" w:sz="4" w:space="0" w:color="auto"/>
            </w:tcBorders>
            <w:vAlign w:val="center"/>
            <w:hideMark/>
          </w:tcPr>
          <w:p w14:paraId="65045888"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15.2</w:t>
            </w:r>
          </w:p>
        </w:tc>
      </w:tr>
      <w:tr w:rsidR="000B6730" w:rsidRPr="000B6730" w14:paraId="2FC4089E"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14934F4F"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72564437"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South Central (BG42)</w:t>
            </w:r>
          </w:p>
        </w:tc>
        <w:tc>
          <w:tcPr>
            <w:tcW w:w="920" w:type="dxa"/>
            <w:tcBorders>
              <w:top w:val="nil"/>
              <w:left w:val="nil"/>
              <w:bottom w:val="single" w:sz="4" w:space="0" w:color="auto"/>
              <w:right w:val="single" w:sz="4" w:space="0" w:color="auto"/>
            </w:tcBorders>
            <w:vAlign w:val="center"/>
            <w:hideMark/>
          </w:tcPr>
          <w:p w14:paraId="7283ECDC"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18</w:t>
            </w:r>
          </w:p>
        </w:tc>
        <w:tc>
          <w:tcPr>
            <w:tcW w:w="1780" w:type="dxa"/>
            <w:tcBorders>
              <w:top w:val="nil"/>
              <w:left w:val="nil"/>
              <w:bottom w:val="single" w:sz="4" w:space="0" w:color="auto"/>
              <w:right w:val="single" w:sz="4" w:space="0" w:color="auto"/>
            </w:tcBorders>
            <w:vAlign w:val="center"/>
            <w:hideMark/>
          </w:tcPr>
          <w:p w14:paraId="4A22AFEE"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19.6</w:t>
            </w:r>
          </w:p>
        </w:tc>
      </w:tr>
      <w:tr w:rsidR="000B6730" w:rsidRPr="000B6730" w14:paraId="0C0CD9A2"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0E8B4FFF"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11889EC4"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Southeast (BG34)</w:t>
            </w:r>
          </w:p>
        </w:tc>
        <w:tc>
          <w:tcPr>
            <w:tcW w:w="920" w:type="dxa"/>
            <w:tcBorders>
              <w:top w:val="nil"/>
              <w:left w:val="nil"/>
              <w:bottom w:val="single" w:sz="4" w:space="0" w:color="auto"/>
              <w:right w:val="single" w:sz="4" w:space="0" w:color="auto"/>
            </w:tcBorders>
            <w:vAlign w:val="center"/>
            <w:hideMark/>
          </w:tcPr>
          <w:p w14:paraId="413F705D"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15</w:t>
            </w:r>
          </w:p>
        </w:tc>
        <w:tc>
          <w:tcPr>
            <w:tcW w:w="1780" w:type="dxa"/>
            <w:tcBorders>
              <w:top w:val="nil"/>
              <w:left w:val="nil"/>
              <w:bottom w:val="single" w:sz="4" w:space="0" w:color="auto"/>
              <w:right w:val="single" w:sz="4" w:space="0" w:color="auto"/>
            </w:tcBorders>
            <w:vAlign w:val="center"/>
            <w:hideMark/>
          </w:tcPr>
          <w:p w14:paraId="39C66B3D"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16.3</w:t>
            </w:r>
          </w:p>
        </w:tc>
      </w:tr>
      <w:tr w:rsidR="000B6730" w:rsidRPr="000B6730" w14:paraId="7396CB36" w14:textId="77777777" w:rsidTr="000B6730">
        <w:trPr>
          <w:trHeight w:val="564"/>
          <w:jc w:val="center"/>
        </w:trPr>
        <w:tc>
          <w:tcPr>
            <w:tcW w:w="2300" w:type="dxa"/>
            <w:vMerge w:val="restart"/>
            <w:tcBorders>
              <w:top w:val="nil"/>
              <w:left w:val="single" w:sz="4" w:space="0" w:color="auto"/>
              <w:bottom w:val="single" w:sz="4" w:space="0" w:color="auto"/>
              <w:right w:val="single" w:sz="4" w:space="0" w:color="auto"/>
            </w:tcBorders>
            <w:vAlign w:val="center"/>
            <w:hideMark/>
          </w:tcPr>
          <w:p w14:paraId="6405C07D"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14:ligatures w14:val="none"/>
              </w:rPr>
            </w:pPr>
            <w:r w:rsidRPr="000B6730">
              <w:rPr>
                <w:rFonts w:ascii="Times New Roman" w:eastAsia="Times New Roman" w:hAnsi="Times New Roman" w:cs="Times New Roman"/>
                <w:b/>
                <w:bCs/>
                <w:color w:val="1F1F1F"/>
                <w:kern w:val="0"/>
                <w14:ligatures w14:val="none"/>
              </w:rPr>
              <w:t>Specialization</w:t>
            </w:r>
          </w:p>
        </w:tc>
        <w:tc>
          <w:tcPr>
            <w:tcW w:w="2720" w:type="dxa"/>
            <w:tcBorders>
              <w:top w:val="nil"/>
              <w:left w:val="nil"/>
              <w:bottom w:val="single" w:sz="4" w:space="0" w:color="auto"/>
              <w:right w:val="single" w:sz="4" w:space="0" w:color="auto"/>
            </w:tcBorders>
            <w:vAlign w:val="center"/>
            <w:hideMark/>
          </w:tcPr>
          <w:p w14:paraId="4BB674CB"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Field crops</w:t>
            </w:r>
          </w:p>
        </w:tc>
        <w:tc>
          <w:tcPr>
            <w:tcW w:w="920" w:type="dxa"/>
            <w:tcBorders>
              <w:top w:val="nil"/>
              <w:left w:val="nil"/>
              <w:bottom w:val="single" w:sz="4" w:space="0" w:color="auto"/>
              <w:right w:val="single" w:sz="4" w:space="0" w:color="auto"/>
            </w:tcBorders>
            <w:vAlign w:val="center"/>
            <w:hideMark/>
          </w:tcPr>
          <w:p w14:paraId="31AB737A"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33</w:t>
            </w:r>
          </w:p>
        </w:tc>
        <w:tc>
          <w:tcPr>
            <w:tcW w:w="1780" w:type="dxa"/>
            <w:tcBorders>
              <w:top w:val="nil"/>
              <w:left w:val="nil"/>
              <w:bottom w:val="single" w:sz="4" w:space="0" w:color="auto"/>
              <w:right w:val="single" w:sz="4" w:space="0" w:color="auto"/>
            </w:tcBorders>
            <w:vAlign w:val="center"/>
            <w:hideMark/>
          </w:tcPr>
          <w:p w14:paraId="1979E018"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35.9</w:t>
            </w:r>
          </w:p>
        </w:tc>
      </w:tr>
      <w:tr w:rsidR="000B6730" w:rsidRPr="000B6730" w14:paraId="45F0B473"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7AFED64B"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1D6FE8DE"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Horticulture</w:t>
            </w:r>
          </w:p>
        </w:tc>
        <w:tc>
          <w:tcPr>
            <w:tcW w:w="920" w:type="dxa"/>
            <w:tcBorders>
              <w:top w:val="nil"/>
              <w:left w:val="nil"/>
              <w:bottom w:val="single" w:sz="4" w:space="0" w:color="auto"/>
              <w:right w:val="single" w:sz="4" w:space="0" w:color="auto"/>
            </w:tcBorders>
            <w:vAlign w:val="center"/>
            <w:hideMark/>
          </w:tcPr>
          <w:p w14:paraId="69455C98"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6</w:t>
            </w:r>
          </w:p>
        </w:tc>
        <w:tc>
          <w:tcPr>
            <w:tcW w:w="1780" w:type="dxa"/>
            <w:tcBorders>
              <w:top w:val="nil"/>
              <w:left w:val="nil"/>
              <w:bottom w:val="single" w:sz="4" w:space="0" w:color="auto"/>
              <w:right w:val="single" w:sz="4" w:space="0" w:color="auto"/>
            </w:tcBorders>
            <w:vAlign w:val="center"/>
            <w:hideMark/>
          </w:tcPr>
          <w:p w14:paraId="24FE2C28"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6.5</w:t>
            </w:r>
          </w:p>
        </w:tc>
      </w:tr>
      <w:tr w:rsidR="000B6730" w:rsidRPr="000B6730" w14:paraId="76ACFECF"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3E478947"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596A390A"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Viticulture</w:t>
            </w:r>
          </w:p>
        </w:tc>
        <w:tc>
          <w:tcPr>
            <w:tcW w:w="920" w:type="dxa"/>
            <w:tcBorders>
              <w:top w:val="nil"/>
              <w:left w:val="nil"/>
              <w:bottom w:val="single" w:sz="4" w:space="0" w:color="auto"/>
              <w:right w:val="single" w:sz="4" w:space="0" w:color="auto"/>
            </w:tcBorders>
            <w:vAlign w:val="center"/>
            <w:hideMark/>
          </w:tcPr>
          <w:p w14:paraId="5B1B2313"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4</w:t>
            </w:r>
          </w:p>
        </w:tc>
        <w:tc>
          <w:tcPr>
            <w:tcW w:w="1780" w:type="dxa"/>
            <w:tcBorders>
              <w:top w:val="nil"/>
              <w:left w:val="nil"/>
              <w:bottom w:val="single" w:sz="4" w:space="0" w:color="auto"/>
              <w:right w:val="single" w:sz="4" w:space="0" w:color="auto"/>
            </w:tcBorders>
            <w:vAlign w:val="center"/>
            <w:hideMark/>
          </w:tcPr>
          <w:p w14:paraId="3B1D8611"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4.3</w:t>
            </w:r>
          </w:p>
        </w:tc>
      </w:tr>
      <w:tr w:rsidR="000B6730" w:rsidRPr="000B6730" w14:paraId="6F42C663"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65B833B9"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66A52908"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Permanent crops</w:t>
            </w:r>
          </w:p>
        </w:tc>
        <w:tc>
          <w:tcPr>
            <w:tcW w:w="920" w:type="dxa"/>
            <w:tcBorders>
              <w:top w:val="nil"/>
              <w:left w:val="nil"/>
              <w:bottom w:val="single" w:sz="4" w:space="0" w:color="auto"/>
              <w:right w:val="single" w:sz="4" w:space="0" w:color="auto"/>
            </w:tcBorders>
            <w:vAlign w:val="center"/>
            <w:hideMark/>
          </w:tcPr>
          <w:p w14:paraId="6923F62A"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5</w:t>
            </w:r>
          </w:p>
        </w:tc>
        <w:tc>
          <w:tcPr>
            <w:tcW w:w="1780" w:type="dxa"/>
            <w:tcBorders>
              <w:top w:val="nil"/>
              <w:left w:val="nil"/>
              <w:bottom w:val="single" w:sz="4" w:space="0" w:color="auto"/>
              <w:right w:val="single" w:sz="4" w:space="0" w:color="auto"/>
            </w:tcBorders>
            <w:vAlign w:val="center"/>
            <w:hideMark/>
          </w:tcPr>
          <w:p w14:paraId="23A7966E"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5.4</w:t>
            </w:r>
          </w:p>
        </w:tc>
      </w:tr>
      <w:tr w:rsidR="000B6730" w:rsidRPr="000B6730" w14:paraId="462F6780"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6FC1A84B"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73622779"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Dairy farming</w:t>
            </w:r>
          </w:p>
        </w:tc>
        <w:tc>
          <w:tcPr>
            <w:tcW w:w="920" w:type="dxa"/>
            <w:tcBorders>
              <w:top w:val="nil"/>
              <w:left w:val="nil"/>
              <w:bottom w:val="single" w:sz="4" w:space="0" w:color="auto"/>
              <w:right w:val="single" w:sz="4" w:space="0" w:color="auto"/>
            </w:tcBorders>
            <w:vAlign w:val="center"/>
            <w:hideMark/>
          </w:tcPr>
          <w:p w14:paraId="17915242"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9</w:t>
            </w:r>
          </w:p>
        </w:tc>
        <w:tc>
          <w:tcPr>
            <w:tcW w:w="1780" w:type="dxa"/>
            <w:tcBorders>
              <w:top w:val="nil"/>
              <w:left w:val="nil"/>
              <w:bottom w:val="single" w:sz="4" w:space="0" w:color="auto"/>
              <w:right w:val="single" w:sz="4" w:space="0" w:color="auto"/>
            </w:tcBorders>
            <w:vAlign w:val="center"/>
            <w:hideMark/>
          </w:tcPr>
          <w:p w14:paraId="3D0D66D9"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9.8</w:t>
            </w:r>
          </w:p>
        </w:tc>
      </w:tr>
      <w:tr w:rsidR="000B6730" w:rsidRPr="000B6730" w14:paraId="3069D7B3"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23A27D15"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2BA55177"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Other grazing livestock</w:t>
            </w:r>
          </w:p>
        </w:tc>
        <w:tc>
          <w:tcPr>
            <w:tcW w:w="920" w:type="dxa"/>
            <w:tcBorders>
              <w:top w:val="nil"/>
              <w:left w:val="nil"/>
              <w:bottom w:val="single" w:sz="4" w:space="0" w:color="auto"/>
              <w:right w:val="single" w:sz="4" w:space="0" w:color="auto"/>
            </w:tcBorders>
            <w:vAlign w:val="center"/>
            <w:hideMark/>
          </w:tcPr>
          <w:p w14:paraId="00331CF9"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7</w:t>
            </w:r>
          </w:p>
        </w:tc>
        <w:tc>
          <w:tcPr>
            <w:tcW w:w="1780" w:type="dxa"/>
            <w:tcBorders>
              <w:top w:val="nil"/>
              <w:left w:val="nil"/>
              <w:bottom w:val="single" w:sz="4" w:space="0" w:color="auto"/>
              <w:right w:val="single" w:sz="4" w:space="0" w:color="auto"/>
            </w:tcBorders>
            <w:vAlign w:val="center"/>
            <w:hideMark/>
          </w:tcPr>
          <w:p w14:paraId="43EB2EA9"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7.6</w:t>
            </w:r>
          </w:p>
        </w:tc>
      </w:tr>
      <w:tr w:rsidR="000B6730" w:rsidRPr="000B6730" w14:paraId="0C28AACF"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6784A8C5"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674B76FD"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Intensive livestock farming</w:t>
            </w:r>
          </w:p>
        </w:tc>
        <w:tc>
          <w:tcPr>
            <w:tcW w:w="920" w:type="dxa"/>
            <w:tcBorders>
              <w:top w:val="nil"/>
              <w:left w:val="nil"/>
              <w:bottom w:val="single" w:sz="4" w:space="0" w:color="auto"/>
              <w:right w:val="single" w:sz="4" w:space="0" w:color="auto"/>
            </w:tcBorders>
            <w:vAlign w:val="center"/>
            <w:hideMark/>
          </w:tcPr>
          <w:p w14:paraId="5520B78D"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6</w:t>
            </w:r>
          </w:p>
        </w:tc>
        <w:tc>
          <w:tcPr>
            <w:tcW w:w="1780" w:type="dxa"/>
            <w:tcBorders>
              <w:top w:val="nil"/>
              <w:left w:val="nil"/>
              <w:bottom w:val="single" w:sz="4" w:space="0" w:color="auto"/>
              <w:right w:val="single" w:sz="4" w:space="0" w:color="auto"/>
            </w:tcBorders>
            <w:vAlign w:val="center"/>
            <w:hideMark/>
          </w:tcPr>
          <w:p w14:paraId="632E8EC9"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6.5</w:t>
            </w:r>
          </w:p>
        </w:tc>
      </w:tr>
      <w:tr w:rsidR="000B6730" w:rsidRPr="000B6730" w14:paraId="5A5942C7"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0F2D8F5C"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61E16CD3"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Mixed farming</w:t>
            </w:r>
          </w:p>
        </w:tc>
        <w:tc>
          <w:tcPr>
            <w:tcW w:w="920" w:type="dxa"/>
            <w:tcBorders>
              <w:top w:val="nil"/>
              <w:left w:val="nil"/>
              <w:bottom w:val="single" w:sz="4" w:space="0" w:color="auto"/>
              <w:right w:val="single" w:sz="4" w:space="0" w:color="auto"/>
            </w:tcBorders>
            <w:vAlign w:val="center"/>
            <w:hideMark/>
          </w:tcPr>
          <w:p w14:paraId="2018C188"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22</w:t>
            </w:r>
          </w:p>
        </w:tc>
        <w:tc>
          <w:tcPr>
            <w:tcW w:w="1780" w:type="dxa"/>
            <w:tcBorders>
              <w:top w:val="nil"/>
              <w:left w:val="nil"/>
              <w:bottom w:val="single" w:sz="4" w:space="0" w:color="auto"/>
              <w:right w:val="single" w:sz="4" w:space="0" w:color="auto"/>
            </w:tcBorders>
            <w:vAlign w:val="center"/>
            <w:hideMark/>
          </w:tcPr>
          <w:p w14:paraId="70C540F1"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23.9</w:t>
            </w:r>
          </w:p>
        </w:tc>
      </w:tr>
      <w:tr w:rsidR="000B6730" w:rsidRPr="000B6730" w14:paraId="13F23DBC" w14:textId="77777777" w:rsidTr="000B6730">
        <w:trPr>
          <w:trHeight w:val="312"/>
          <w:jc w:val="center"/>
        </w:trPr>
        <w:tc>
          <w:tcPr>
            <w:tcW w:w="2300" w:type="dxa"/>
            <w:vMerge w:val="restart"/>
            <w:tcBorders>
              <w:top w:val="nil"/>
              <w:left w:val="single" w:sz="4" w:space="0" w:color="auto"/>
              <w:bottom w:val="single" w:sz="4" w:space="0" w:color="auto"/>
              <w:right w:val="single" w:sz="4" w:space="0" w:color="auto"/>
            </w:tcBorders>
            <w:vAlign w:val="center"/>
            <w:hideMark/>
          </w:tcPr>
          <w:p w14:paraId="2D63B56B" w14:textId="77777777" w:rsidR="000B6730" w:rsidRPr="000B6730" w:rsidRDefault="000B6730" w:rsidP="000B6730">
            <w:pPr>
              <w:spacing w:after="0" w:line="240" w:lineRule="auto"/>
              <w:jc w:val="center"/>
              <w:rPr>
                <w:rFonts w:ascii="Times New Roman" w:eastAsia="Times New Roman" w:hAnsi="Times New Roman" w:cs="Times New Roman"/>
                <w:b/>
                <w:bCs/>
                <w:color w:val="1F1F1F"/>
                <w:kern w:val="0"/>
                <w14:ligatures w14:val="none"/>
              </w:rPr>
            </w:pPr>
            <w:r w:rsidRPr="000B6730">
              <w:rPr>
                <w:rFonts w:ascii="Times New Roman" w:eastAsia="Times New Roman" w:hAnsi="Times New Roman" w:cs="Times New Roman"/>
                <w:b/>
                <w:bCs/>
                <w:color w:val="1F1F1F"/>
                <w:kern w:val="0"/>
                <w14:ligatures w14:val="none"/>
              </w:rPr>
              <w:t>Legal form</w:t>
            </w:r>
          </w:p>
        </w:tc>
        <w:tc>
          <w:tcPr>
            <w:tcW w:w="2720" w:type="dxa"/>
            <w:tcBorders>
              <w:top w:val="nil"/>
              <w:left w:val="nil"/>
              <w:bottom w:val="single" w:sz="4" w:space="0" w:color="auto"/>
              <w:right w:val="single" w:sz="4" w:space="0" w:color="auto"/>
            </w:tcBorders>
            <w:vAlign w:val="center"/>
            <w:hideMark/>
          </w:tcPr>
          <w:p w14:paraId="65339DA4"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Agricultural producer</w:t>
            </w:r>
          </w:p>
        </w:tc>
        <w:tc>
          <w:tcPr>
            <w:tcW w:w="920" w:type="dxa"/>
            <w:tcBorders>
              <w:top w:val="nil"/>
              <w:left w:val="nil"/>
              <w:bottom w:val="single" w:sz="4" w:space="0" w:color="auto"/>
              <w:right w:val="single" w:sz="4" w:space="0" w:color="auto"/>
            </w:tcBorders>
            <w:vAlign w:val="center"/>
            <w:hideMark/>
          </w:tcPr>
          <w:p w14:paraId="08337945"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47</w:t>
            </w:r>
          </w:p>
        </w:tc>
        <w:tc>
          <w:tcPr>
            <w:tcW w:w="1780" w:type="dxa"/>
            <w:tcBorders>
              <w:top w:val="nil"/>
              <w:left w:val="nil"/>
              <w:bottom w:val="single" w:sz="4" w:space="0" w:color="auto"/>
              <w:right w:val="single" w:sz="4" w:space="0" w:color="auto"/>
            </w:tcBorders>
            <w:vAlign w:val="center"/>
            <w:hideMark/>
          </w:tcPr>
          <w:p w14:paraId="39BFF3A1"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51.1</w:t>
            </w:r>
          </w:p>
        </w:tc>
      </w:tr>
      <w:tr w:rsidR="000B6730" w:rsidRPr="000B6730" w14:paraId="64879442"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4F370B65"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0DBD0114"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Cooperative</w:t>
            </w:r>
          </w:p>
        </w:tc>
        <w:tc>
          <w:tcPr>
            <w:tcW w:w="920" w:type="dxa"/>
            <w:tcBorders>
              <w:top w:val="nil"/>
              <w:left w:val="nil"/>
              <w:bottom w:val="single" w:sz="4" w:space="0" w:color="auto"/>
              <w:right w:val="single" w:sz="4" w:space="0" w:color="auto"/>
            </w:tcBorders>
            <w:vAlign w:val="center"/>
            <w:hideMark/>
          </w:tcPr>
          <w:p w14:paraId="26DF1883"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20</w:t>
            </w:r>
          </w:p>
        </w:tc>
        <w:tc>
          <w:tcPr>
            <w:tcW w:w="1780" w:type="dxa"/>
            <w:tcBorders>
              <w:top w:val="nil"/>
              <w:left w:val="nil"/>
              <w:bottom w:val="single" w:sz="4" w:space="0" w:color="auto"/>
              <w:right w:val="single" w:sz="4" w:space="0" w:color="auto"/>
            </w:tcBorders>
            <w:vAlign w:val="center"/>
            <w:hideMark/>
          </w:tcPr>
          <w:p w14:paraId="57BC0E90"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21.7</w:t>
            </w:r>
          </w:p>
        </w:tc>
      </w:tr>
      <w:tr w:rsidR="000B6730" w:rsidRPr="000B6730" w14:paraId="7B4221FE" w14:textId="77777777" w:rsidTr="000B6730">
        <w:trPr>
          <w:trHeight w:val="312"/>
          <w:jc w:val="center"/>
        </w:trPr>
        <w:tc>
          <w:tcPr>
            <w:tcW w:w="2300" w:type="dxa"/>
            <w:vMerge/>
            <w:tcBorders>
              <w:top w:val="nil"/>
              <w:left w:val="single" w:sz="4" w:space="0" w:color="auto"/>
              <w:bottom w:val="single" w:sz="4" w:space="0" w:color="auto"/>
              <w:right w:val="single" w:sz="4" w:space="0" w:color="auto"/>
            </w:tcBorders>
            <w:vAlign w:val="center"/>
            <w:hideMark/>
          </w:tcPr>
          <w:p w14:paraId="404FA209" w14:textId="77777777" w:rsidR="000B6730" w:rsidRPr="000B6730" w:rsidRDefault="000B6730" w:rsidP="000B6730">
            <w:pPr>
              <w:spacing w:after="0" w:line="240" w:lineRule="auto"/>
              <w:rPr>
                <w:rFonts w:ascii="Times New Roman" w:eastAsia="Times New Roman" w:hAnsi="Times New Roman" w:cs="Times New Roman"/>
                <w:b/>
                <w:bCs/>
                <w:color w:val="1F1F1F"/>
                <w:kern w:val="0"/>
                <w14:ligatures w14:val="none"/>
              </w:rPr>
            </w:pPr>
          </w:p>
        </w:tc>
        <w:tc>
          <w:tcPr>
            <w:tcW w:w="2720" w:type="dxa"/>
            <w:tcBorders>
              <w:top w:val="nil"/>
              <w:left w:val="nil"/>
              <w:bottom w:val="single" w:sz="4" w:space="0" w:color="auto"/>
              <w:right w:val="single" w:sz="4" w:space="0" w:color="auto"/>
            </w:tcBorders>
            <w:vAlign w:val="center"/>
            <w:hideMark/>
          </w:tcPr>
          <w:p w14:paraId="4A0808FD"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Commercial company</w:t>
            </w:r>
          </w:p>
        </w:tc>
        <w:tc>
          <w:tcPr>
            <w:tcW w:w="920" w:type="dxa"/>
            <w:tcBorders>
              <w:top w:val="nil"/>
              <w:left w:val="nil"/>
              <w:bottom w:val="single" w:sz="4" w:space="0" w:color="auto"/>
              <w:right w:val="single" w:sz="4" w:space="0" w:color="auto"/>
            </w:tcBorders>
            <w:vAlign w:val="center"/>
            <w:hideMark/>
          </w:tcPr>
          <w:p w14:paraId="314DA3F5"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25</w:t>
            </w:r>
          </w:p>
        </w:tc>
        <w:tc>
          <w:tcPr>
            <w:tcW w:w="1780" w:type="dxa"/>
            <w:tcBorders>
              <w:top w:val="nil"/>
              <w:left w:val="nil"/>
              <w:bottom w:val="single" w:sz="4" w:space="0" w:color="auto"/>
              <w:right w:val="single" w:sz="4" w:space="0" w:color="auto"/>
            </w:tcBorders>
            <w:vAlign w:val="center"/>
            <w:hideMark/>
          </w:tcPr>
          <w:p w14:paraId="0A97C3E0" w14:textId="77777777" w:rsidR="000B6730" w:rsidRPr="000B6730" w:rsidRDefault="000B6730" w:rsidP="000B6730">
            <w:pPr>
              <w:spacing w:after="0" w:line="240" w:lineRule="auto"/>
              <w:jc w:val="center"/>
              <w:rPr>
                <w:rFonts w:ascii="Times New Roman" w:eastAsia="Times New Roman" w:hAnsi="Times New Roman" w:cs="Times New Roman"/>
                <w:color w:val="1F1F1F"/>
                <w:kern w:val="0"/>
                <w14:ligatures w14:val="none"/>
              </w:rPr>
            </w:pPr>
            <w:r w:rsidRPr="000B6730">
              <w:rPr>
                <w:rFonts w:ascii="Times New Roman" w:eastAsia="Times New Roman" w:hAnsi="Times New Roman" w:cs="Times New Roman"/>
                <w:color w:val="1F1F1F"/>
                <w:kern w:val="0"/>
                <w14:ligatures w14:val="none"/>
              </w:rPr>
              <w:t>27.2</w:t>
            </w:r>
          </w:p>
        </w:tc>
      </w:tr>
    </w:tbl>
    <w:p w14:paraId="213E34CD" w14:textId="77777777" w:rsidR="000B6730" w:rsidRPr="001E285D" w:rsidRDefault="000B6730" w:rsidP="000B6730">
      <w:pPr>
        <w:spacing w:line="360" w:lineRule="auto"/>
        <w:jc w:val="center"/>
        <w:rPr>
          <w:rFonts w:ascii="Times New Roman" w:hAnsi="Times New Roman" w:cs="Times New Roman"/>
          <w:lang w:val="bg-BG"/>
        </w:rPr>
      </w:pPr>
      <w:r w:rsidRPr="001E285D">
        <w:rPr>
          <w:rFonts w:ascii="Times New Roman" w:hAnsi="Times New Roman" w:cs="Times New Roman"/>
        </w:rPr>
        <w:t>Source: Own calculations</w:t>
      </w:r>
    </w:p>
    <w:p w14:paraId="34544F81" w14:textId="77777777" w:rsidR="009E79E8" w:rsidRPr="009E79E8" w:rsidRDefault="009E79E8" w:rsidP="009E79E8">
      <w:pPr>
        <w:spacing w:line="360" w:lineRule="auto"/>
        <w:ind w:firstLine="720"/>
        <w:jc w:val="both"/>
        <w:rPr>
          <w:rFonts w:ascii="Times New Roman" w:hAnsi="Times New Roman" w:cs="Times New Roman"/>
        </w:rPr>
      </w:pPr>
      <w:r w:rsidRPr="009E79E8">
        <w:rPr>
          <w:rFonts w:ascii="Times New Roman" w:hAnsi="Times New Roman" w:cs="Times New Roman"/>
        </w:rPr>
        <w:t xml:space="preserve">The results show that the level of awareness among Bulgarian farmers regarding the Green Deal is still low. The main barriers to the implementation of sustainable practices are related to </w:t>
      </w:r>
      <w:r w:rsidRPr="009E79E8">
        <w:rPr>
          <w:rFonts w:ascii="Times New Roman" w:hAnsi="Times New Roman" w:cs="Times New Roman"/>
        </w:rPr>
        <w:lastRenderedPageBreak/>
        <w:t>high initial costs, lack of access to appropriate machinery and technologies, insufficient information and training, as well as a lack of economic incentives. The degree of applicability of the different sustainable practices is shown in the following table:</w:t>
      </w:r>
    </w:p>
    <w:p w14:paraId="217ACBE6" w14:textId="77777777" w:rsidR="009E79E8" w:rsidRDefault="009E79E8" w:rsidP="009E79E8">
      <w:pPr>
        <w:spacing w:line="360" w:lineRule="auto"/>
        <w:ind w:firstLine="720"/>
        <w:jc w:val="center"/>
        <w:rPr>
          <w:rFonts w:ascii="Times New Roman" w:hAnsi="Times New Roman" w:cs="Times New Roman"/>
        </w:rPr>
      </w:pPr>
      <w:r w:rsidRPr="009E79E8">
        <w:rPr>
          <w:rFonts w:ascii="Times New Roman" w:hAnsi="Times New Roman" w:cs="Times New Roman"/>
        </w:rPr>
        <w:t>Table 34. Applicability of sustainable practices</w:t>
      </w:r>
    </w:p>
    <w:tbl>
      <w:tblPr>
        <w:tblW w:w="6720" w:type="dxa"/>
        <w:jc w:val="center"/>
        <w:tblLook w:val="04A0" w:firstRow="1" w:lastRow="0" w:firstColumn="1" w:lastColumn="0" w:noHBand="0" w:noVBand="1"/>
      </w:tblPr>
      <w:tblGrid>
        <w:gridCol w:w="2300"/>
        <w:gridCol w:w="2720"/>
        <w:gridCol w:w="1700"/>
      </w:tblGrid>
      <w:tr w:rsidR="009E79E8" w:rsidRPr="009E79E8" w14:paraId="63308390" w14:textId="77777777" w:rsidTr="009E79E8">
        <w:trPr>
          <w:trHeight w:val="312"/>
          <w:jc w:val="center"/>
        </w:trPr>
        <w:tc>
          <w:tcPr>
            <w:tcW w:w="2300" w:type="dxa"/>
            <w:tcBorders>
              <w:top w:val="single" w:sz="4" w:space="0" w:color="auto"/>
              <w:left w:val="single" w:sz="4" w:space="0" w:color="auto"/>
              <w:bottom w:val="single" w:sz="4" w:space="0" w:color="auto"/>
              <w:right w:val="single" w:sz="4" w:space="0" w:color="auto"/>
            </w:tcBorders>
            <w:vAlign w:val="center"/>
            <w:hideMark/>
          </w:tcPr>
          <w:p w14:paraId="3F787110" w14:textId="77777777" w:rsidR="009E79E8" w:rsidRPr="009E79E8" w:rsidRDefault="009E79E8" w:rsidP="009E79E8">
            <w:pPr>
              <w:spacing w:after="0" w:line="240" w:lineRule="auto"/>
              <w:jc w:val="center"/>
              <w:rPr>
                <w:rFonts w:ascii="Times New Roman" w:eastAsia="Times New Roman" w:hAnsi="Times New Roman" w:cs="Times New Roman"/>
                <w:b/>
                <w:bCs/>
                <w:color w:val="1F1F1F"/>
                <w:kern w:val="0"/>
                <w14:ligatures w14:val="none"/>
              </w:rPr>
            </w:pPr>
            <w:r w:rsidRPr="009E79E8">
              <w:rPr>
                <w:rFonts w:ascii="Times New Roman" w:eastAsia="Times New Roman" w:hAnsi="Times New Roman" w:cs="Times New Roman"/>
                <w:b/>
                <w:bCs/>
                <w:color w:val="1F1F1F"/>
                <w:kern w:val="0"/>
                <w14:ligatures w14:val="none"/>
              </w:rPr>
              <w:t>Practice</w:t>
            </w:r>
          </w:p>
        </w:tc>
        <w:tc>
          <w:tcPr>
            <w:tcW w:w="2720" w:type="dxa"/>
            <w:tcBorders>
              <w:top w:val="single" w:sz="4" w:space="0" w:color="auto"/>
              <w:left w:val="nil"/>
              <w:bottom w:val="single" w:sz="4" w:space="0" w:color="auto"/>
              <w:right w:val="single" w:sz="4" w:space="0" w:color="auto"/>
            </w:tcBorders>
            <w:vAlign w:val="center"/>
            <w:hideMark/>
          </w:tcPr>
          <w:p w14:paraId="0A963A73" w14:textId="77777777" w:rsidR="009E79E8" w:rsidRPr="009E79E8" w:rsidRDefault="009E79E8" w:rsidP="009E79E8">
            <w:pPr>
              <w:spacing w:after="0" w:line="240" w:lineRule="auto"/>
              <w:jc w:val="center"/>
              <w:rPr>
                <w:rFonts w:ascii="Times New Roman" w:eastAsia="Times New Roman" w:hAnsi="Times New Roman" w:cs="Times New Roman"/>
                <w:b/>
                <w:bCs/>
                <w:color w:val="1F1F1F"/>
                <w:kern w:val="0"/>
                <w14:ligatures w14:val="none"/>
              </w:rPr>
            </w:pPr>
            <w:r w:rsidRPr="009E79E8">
              <w:rPr>
                <w:rFonts w:ascii="Times New Roman" w:eastAsia="Times New Roman" w:hAnsi="Times New Roman" w:cs="Times New Roman"/>
                <w:b/>
                <w:bCs/>
                <w:color w:val="1F1F1F"/>
                <w:kern w:val="0"/>
                <w14:ligatures w14:val="none"/>
              </w:rPr>
              <w:t>Count</w:t>
            </w:r>
          </w:p>
        </w:tc>
        <w:tc>
          <w:tcPr>
            <w:tcW w:w="1700" w:type="dxa"/>
            <w:tcBorders>
              <w:top w:val="single" w:sz="4" w:space="0" w:color="auto"/>
              <w:left w:val="nil"/>
              <w:bottom w:val="single" w:sz="4" w:space="0" w:color="auto"/>
              <w:right w:val="single" w:sz="4" w:space="0" w:color="auto"/>
            </w:tcBorders>
            <w:vAlign w:val="center"/>
            <w:hideMark/>
          </w:tcPr>
          <w:p w14:paraId="404CF3C4" w14:textId="77777777" w:rsidR="009E79E8" w:rsidRPr="009E79E8" w:rsidRDefault="009E79E8" w:rsidP="009E79E8">
            <w:pPr>
              <w:spacing w:after="0" w:line="240" w:lineRule="auto"/>
              <w:jc w:val="center"/>
              <w:rPr>
                <w:rFonts w:ascii="Times New Roman" w:eastAsia="Times New Roman" w:hAnsi="Times New Roman" w:cs="Times New Roman"/>
                <w:b/>
                <w:bCs/>
                <w:color w:val="1F1F1F"/>
                <w:kern w:val="0"/>
                <w14:ligatures w14:val="none"/>
              </w:rPr>
            </w:pPr>
            <w:r w:rsidRPr="009E79E8">
              <w:rPr>
                <w:rFonts w:ascii="Times New Roman" w:eastAsia="Times New Roman" w:hAnsi="Times New Roman" w:cs="Times New Roman"/>
                <w:b/>
                <w:bCs/>
                <w:color w:val="1F1F1F"/>
                <w:kern w:val="0"/>
                <w14:ligatures w14:val="none"/>
              </w:rPr>
              <w:t>Share (%)</w:t>
            </w:r>
          </w:p>
        </w:tc>
      </w:tr>
      <w:tr w:rsidR="009E79E8" w:rsidRPr="009E79E8" w14:paraId="64D8CF05" w14:textId="77777777" w:rsidTr="009E79E8">
        <w:trPr>
          <w:trHeight w:val="312"/>
          <w:jc w:val="center"/>
        </w:trPr>
        <w:tc>
          <w:tcPr>
            <w:tcW w:w="2300" w:type="dxa"/>
            <w:tcBorders>
              <w:top w:val="nil"/>
              <w:left w:val="single" w:sz="4" w:space="0" w:color="auto"/>
              <w:bottom w:val="single" w:sz="4" w:space="0" w:color="auto"/>
              <w:right w:val="single" w:sz="4" w:space="0" w:color="auto"/>
            </w:tcBorders>
            <w:vAlign w:val="center"/>
            <w:hideMark/>
          </w:tcPr>
          <w:p w14:paraId="57341197"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Minimum tillage</w:t>
            </w:r>
          </w:p>
        </w:tc>
        <w:tc>
          <w:tcPr>
            <w:tcW w:w="2720" w:type="dxa"/>
            <w:tcBorders>
              <w:top w:val="nil"/>
              <w:left w:val="nil"/>
              <w:bottom w:val="single" w:sz="4" w:space="0" w:color="auto"/>
              <w:right w:val="single" w:sz="4" w:space="0" w:color="auto"/>
            </w:tcBorders>
            <w:vAlign w:val="center"/>
            <w:hideMark/>
          </w:tcPr>
          <w:p w14:paraId="0393A560"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26</w:t>
            </w:r>
          </w:p>
        </w:tc>
        <w:tc>
          <w:tcPr>
            <w:tcW w:w="1700" w:type="dxa"/>
            <w:tcBorders>
              <w:top w:val="nil"/>
              <w:left w:val="nil"/>
              <w:bottom w:val="single" w:sz="4" w:space="0" w:color="auto"/>
              <w:right w:val="single" w:sz="4" w:space="0" w:color="auto"/>
            </w:tcBorders>
            <w:vAlign w:val="center"/>
            <w:hideMark/>
          </w:tcPr>
          <w:p w14:paraId="523C0D58"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28.30%</w:t>
            </w:r>
          </w:p>
        </w:tc>
      </w:tr>
      <w:tr w:rsidR="009E79E8" w:rsidRPr="009E79E8" w14:paraId="0D75C3D8" w14:textId="77777777" w:rsidTr="009E79E8">
        <w:trPr>
          <w:trHeight w:val="312"/>
          <w:jc w:val="center"/>
        </w:trPr>
        <w:tc>
          <w:tcPr>
            <w:tcW w:w="2300" w:type="dxa"/>
            <w:tcBorders>
              <w:top w:val="nil"/>
              <w:left w:val="single" w:sz="4" w:space="0" w:color="auto"/>
              <w:bottom w:val="single" w:sz="4" w:space="0" w:color="auto"/>
              <w:right w:val="single" w:sz="4" w:space="0" w:color="auto"/>
            </w:tcBorders>
            <w:vAlign w:val="center"/>
            <w:hideMark/>
          </w:tcPr>
          <w:p w14:paraId="6C8ADBCA"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Use of cover crops</w:t>
            </w:r>
          </w:p>
        </w:tc>
        <w:tc>
          <w:tcPr>
            <w:tcW w:w="2720" w:type="dxa"/>
            <w:tcBorders>
              <w:top w:val="nil"/>
              <w:left w:val="nil"/>
              <w:bottom w:val="single" w:sz="4" w:space="0" w:color="auto"/>
              <w:right w:val="single" w:sz="4" w:space="0" w:color="auto"/>
            </w:tcBorders>
            <w:vAlign w:val="center"/>
            <w:hideMark/>
          </w:tcPr>
          <w:p w14:paraId="261EC095"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21</w:t>
            </w:r>
          </w:p>
        </w:tc>
        <w:tc>
          <w:tcPr>
            <w:tcW w:w="1700" w:type="dxa"/>
            <w:tcBorders>
              <w:top w:val="nil"/>
              <w:left w:val="nil"/>
              <w:bottom w:val="single" w:sz="4" w:space="0" w:color="auto"/>
              <w:right w:val="single" w:sz="4" w:space="0" w:color="auto"/>
            </w:tcBorders>
            <w:vAlign w:val="center"/>
            <w:hideMark/>
          </w:tcPr>
          <w:p w14:paraId="04CED2B3"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22.80%</w:t>
            </w:r>
          </w:p>
        </w:tc>
      </w:tr>
      <w:tr w:rsidR="009E79E8" w:rsidRPr="009E79E8" w14:paraId="0CD941A8" w14:textId="77777777" w:rsidTr="009E79E8">
        <w:trPr>
          <w:trHeight w:val="624"/>
          <w:jc w:val="center"/>
        </w:trPr>
        <w:tc>
          <w:tcPr>
            <w:tcW w:w="2300" w:type="dxa"/>
            <w:tcBorders>
              <w:top w:val="nil"/>
              <w:left w:val="single" w:sz="4" w:space="0" w:color="auto"/>
              <w:bottom w:val="single" w:sz="4" w:space="0" w:color="auto"/>
              <w:right w:val="single" w:sz="4" w:space="0" w:color="auto"/>
            </w:tcBorders>
            <w:vAlign w:val="center"/>
            <w:hideMark/>
          </w:tcPr>
          <w:p w14:paraId="79E6EC63"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Use of inhibited fertilizers</w:t>
            </w:r>
          </w:p>
        </w:tc>
        <w:tc>
          <w:tcPr>
            <w:tcW w:w="2720" w:type="dxa"/>
            <w:tcBorders>
              <w:top w:val="nil"/>
              <w:left w:val="nil"/>
              <w:bottom w:val="single" w:sz="4" w:space="0" w:color="auto"/>
              <w:right w:val="single" w:sz="4" w:space="0" w:color="auto"/>
            </w:tcBorders>
            <w:vAlign w:val="center"/>
            <w:hideMark/>
          </w:tcPr>
          <w:p w14:paraId="2B0797A3"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18</w:t>
            </w:r>
          </w:p>
        </w:tc>
        <w:tc>
          <w:tcPr>
            <w:tcW w:w="1700" w:type="dxa"/>
            <w:tcBorders>
              <w:top w:val="nil"/>
              <w:left w:val="nil"/>
              <w:bottom w:val="single" w:sz="4" w:space="0" w:color="auto"/>
              <w:right w:val="single" w:sz="4" w:space="0" w:color="auto"/>
            </w:tcBorders>
            <w:vAlign w:val="center"/>
            <w:hideMark/>
          </w:tcPr>
          <w:p w14:paraId="5D5123DA"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19.60%</w:t>
            </w:r>
          </w:p>
        </w:tc>
      </w:tr>
      <w:tr w:rsidR="009E79E8" w:rsidRPr="009E79E8" w14:paraId="539509B8" w14:textId="77777777" w:rsidTr="009E79E8">
        <w:trPr>
          <w:trHeight w:val="312"/>
          <w:jc w:val="center"/>
        </w:trPr>
        <w:tc>
          <w:tcPr>
            <w:tcW w:w="2300" w:type="dxa"/>
            <w:tcBorders>
              <w:top w:val="nil"/>
              <w:left w:val="single" w:sz="4" w:space="0" w:color="auto"/>
              <w:bottom w:val="single" w:sz="4" w:space="0" w:color="auto"/>
              <w:right w:val="single" w:sz="4" w:space="0" w:color="auto"/>
            </w:tcBorders>
            <w:vAlign w:val="center"/>
            <w:hideMark/>
          </w:tcPr>
          <w:p w14:paraId="05B88D3F"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Precision agriculture</w:t>
            </w:r>
          </w:p>
        </w:tc>
        <w:tc>
          <w:tcPr>
            <w:tcW w:w="2720" w:type="dxa"/>
            <w:tcBorders>
              <w:top w:val="nil"/>
              <w:left w:val="nil"/>
              <w:bottom w:val="single" w:sz="4" w:space="0" w:color="auto"/>
              <w:right w:val="single" w:sz="4" w:space="0" w:color="auto"/>
            </w:tcBorders>
            <w:vAlign w:val="center"/>
            <w:hideMark/>
          </w:tcPr>
          <w:p w14:paraId="140F5ABE"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8</w:t>
            </w:r>
          </w:p>
        </w:tc>
        <w:tc>
          <w:tcPr>
            <w:tcW w:w="1700" w:type="dxa"/>
            <w:tcBorders>
              <w:top w:val="nil"/>
              <w:left w:val="nil"/>
              <w:bottom w:val="single" w:sz="4" w:space="0" w:color="auto"/>
              <w:right w:val="single" w:sz="4" w:space="0" w:color="auto"/>
            </w:tcBorders>
            <w:vAlign w:val="center"/>
            <w:hideMark/>
          </w:tcPr>
          <w:p w14:paraId="2C18EEFC"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8.70%</w:t>
            </w:r>
          </w:p>
        </w:tc>
      </w:tr>
      <w:tr w:rsidR="009E79E8" w:rsidRPr="009E79E8" w14:paraId="66A970EB" w14:textId="77777777" w:rsidTr="009E79E8">
        <w:trPr>
          <w:trHeight w:val="624"/>
          <w:jc w:val="center"/>
        </w:trPr>
        <w:tc>
          <w:tcPr>
            <w:tcW w:w="2300" w:type="dxa"/>
            <w:tcBorders>
              <w:top w:val="nil"/>
              <w:left w:val="single" w:sz="4" w:space="0" w:color="auto"/>
              <w:bottom w:val="single" w:sz="4" w:space="0" w:color="auto"/>
              <w:right w:val="single" w:sz="4" w:space="0" w:color="auto"/>
            </w:tcBorders>
            <w:vAlign w:val="center"/>
            <w:hideMark/>
          </w:tcPr>
          <w:p w14:paraId="17A2BF53"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Integrated pest management</w:t>
            </w:r>
          </w:p>
        </w:tc>
        <w:tc>
          <w:tcPr>
            <w:tcW w:w="2720" w:type="dxa"/>
            <w:tcBorders>
              <w:top w:val="nil"/>
              <w:left w:val="nil"/>
              <w:bottom w:val="single" w:sz="4" w:space="0" w:color="auto"/>
              <w:right w:val="single" w:sz="4" w:space="0" w:color="auto"/>
            </w:tcBorders>
            <w:vAlign w:val="center"/>
            <w:hideMark/>
          </w:tcPr>
          <w:p w14:paraId="599280B5"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5</w:t>
            </w:r>
          </w:p>
        </w:tc>
        <w:tc>
          <w:tcPr>
            <w:tcW w:w="1700" w:type="dxa"/>
            <w:tcBorders>
              <w:top w:val="nil"/>
              <w:left w:val="nil"/>
              <w:bottom w:val="single" w:sz="4" w:space="0" w:color="auto"/>
              <w:right w:val="single" w:sz="4" w:space="0" w:color="auto"/>
            </w:tcBorders>
            <w:vAlign w:val="center"/>
            <w:hideMark/>
          </w:tcPr>
          <w:p w14:paraId="64608A60"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5.40%</w:t>
            </w:r>
          </w:p>
        </w:tc>
      </w:tr>
      <w:tr w:rsidR="009E79E8" w:rsidRPr="009E79E8" w14:paraId="3AC2B1C4" w14:textId="77777777" w:rsidTr="009E79E8">
        <w:trPr>
          <w:trHeight w:val="312"/>
          <w:jc w:val="center"/>
        </w:trPr>
        <w:tc>
          <w:tcPr>
            <w:tcW w:w="2300" w:type="dxa"/>
            <w:tcBorders>
              <w:top w:val="nil"/>
              <w:left w:val="single" w:sz="4" w:space="0" w:color="auto"/>
              <w:bottom w:val="single" w:sz="4" w:space="0" w:color="auto"/>
              <w:right w:val="single" w:sz="4" w:space="0" w:color="auto"/>
            </w:tcBorders>
            <w:vAlign w:val="center"/>
            <w:hideMark/>
          </w:tcPr>
          <w:p w14:paraId="0D5DE4BB"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Optimized irrigation</w:t>
            </w:r>
          </w:p>
        </w:tc>
        <w:tc>
          <w:tcPr>
            <w:tcW w:w="2720" w:type="dxa"/>
            <w:tcBorders>
              <w:top w:val="nil"/>
              <w:left w:val="nil"/>
              <w:bottom w:val="single" w:sz="4" w:space="0" w:color="auto"/>
              <w:right w:val="single" w:sz="4" w:space="0" w:color="auto"/>
            </w:tcBorders>
            <w:vAlign w:val="center"/>
            <w:hideMark/>
          </w:tcPr>
          <w:p w14:paraId="661C88FD"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4</w:t>
            </w:r>
          </w:p>
        </w:tc>
        <w:tc>
          <w:tcPr>
            <w:tcW w:w="1700" w:type="dxa"/>
            <w:tcBorders>
              <w:top w:val="nil"/>
              <w:left w:val="nil"/>
              <w:bottom w:val="single" w:sz="4" w:space="0" w:color="auto"/>
              <w:right w:val="single" w:sz="4" w:space="0" w:color="auto"/>
            </w:tcBorders>
            <w:vAlign w:val="center"/>
            <w:hideMark/>
          </w:tcPr>
          <w:p w14:paraId="6FC02E72"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4.30%</w:t>
            </w:r>
          </w:p>
        </w:tc>
      </w:tr>
      <w:tr w:rsidR="009E79E8" w:rsidRPr="009E79E8" w14:paraId="23DF7ECB" w14:textId="77777777" w:rsidTr="009E79E8">
        <w:trPr>
          <w:trHeight w:val="312"/>
          <w:jc w:val="center"/>
        </w:trPr>
        <w:tc>
          <w:tcPr>
            <w:tcW w:w="2300" w:type="dxa"/>
            <w:tcBorders>
              <w:top w:val="nil"/>
              <w:left w:val="single" w:sz="4" w:space="0" w:color="auto"/>
              <w:bottom w:val="single" w:sz="4" w:space="0" w:color="auto"/>
              <w:right w:val="single" w:sz="4" w:space="0" w:color="auto"/>
            </w:tcBorders>
            <w:vAlign w:val="center"/>
            <w:hideMark/>
          </w:tcPr>
          <w:p w14:paraId="5A2A8AD6"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Organic farming</w:t>
            </w:r>
          </w:p>
        </w:tc>
        <w:tc>
          <w:tcPr>
            <w:tcW w:w="2720" w:type="dxa"/>
            <w:tcBorders>
              <w:top w:val="nil"/>
              <w:left w:val="nil"/>
              <w:bottom w:val="single" w:sz="4" w:space="0" w:color="auto"/>
              <w:right w:val="single" w:sz="4" w:space="0" w:color="auto"/>
            </w:tcBorders>
            <w:vAlign w:val="center"/>
            <w:hideMark/>
          </w:tcPr>
          <w:p w14:paraId="2D1D1D64"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3</w:t>
            </w:r>
          </w:p>
        </w:tc>
        <w:tc>
          <w:tcPr>
            <w:tcW w:w="1700" w:type="dxa"/>
            <w:tcBorders>
              <w:top w:val="nil"/>
              <w:left w:val="nil"/>
              <w:bottom w:val="single" w:sz="4" w:space="0" w:color="auto"/>
              <w:right w:val="single" w:sz="4" w:space="0" w:color="auto"/>
            </w:tcBorders>
            <w:vAlign w:val="center"/>
            <w:hideMark/>
          </w:tcPr>
          <w:p w14:paraId="50FD6383"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3.30%</w:t>
            </w:r>
          </w:p>
        </w:tc>
      </w:tr>
      <w:tr w:rsidR="009E79E8" w:rsidRPr="009E79E8" w14:paraId="6B35CC62" w14:textId="77777777" w:rsidTr="009E79E8">
        <w:trPr>
          <w:trHeight w:val="312"/>
          <w:jc w:val="center"/>
        </w:trPr>
        <w:tc>
          <w:tcPr>
            <w:tcW w:w="2300" w:type="dxa"/>
            <w:tcBorders>
              <w:top w:val="nil"/>
              <w:left w:val="single" w:sz="4" w:space="0" w:color="auto"/>
              <w:bottom w:val="single" w:sz="4" w:space="0" w:color="auto"/>
              <w:right w:val="single" w:sz="4" w:space="0" w:color="auto"/>
            </w:tcBorders>
            <w:vAlign w:val="center"/>
            <w:hideMark/>
          </w:tcPr>
          <w:p w14:paraId="5010024B"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Carbon farming</w:t>
            </w:r>
          </w:p>
        </w:tc>
        <w:tc>
          <w:tcPr>
            <w:tcW w:w="2720" w:type="dxa"/>
            <w:tcBorders>
              <w:top w:val="nil"/>
              <w:left w:val="nil"/>
              <w:bottom w:val="single" w:sz="4" w:space="0" w:color="auto"/>
              <w:right w:val="single" w:sz="4" w:space="0" w:color="auto"/>
            </w:tcBorders>
            <w:vAlign w:val="center"/>
            <w:hideMark/>
          </w:tcPr>
          <w:p w14:paraId="1134DB34"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2</w:t>
            </w:r>
          </w:p>
        </w:tc>
        <w:tc>
          <w:tcPr>
            <w:tcW w:w="1700" w:type="dxa"/>
            <w:tcBorders>
              <w:top w:val="nil"/>
              <w:left w:val="nil"/>
              <w:bottom w:val="single" w:sz="4" w:space="0" w:color="auto"/>
              <w:right w:val="single" w:sz="4" w:space="0" w:color="auto"/>
            </w:tcBorders>
            <w:vAlign w:val="center"/>
            <w:hideMark/>
          </w:tcPr>
          <w:p w14:paraId="33CA1935"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2.20%</w:t>
            </w:r>
          </w:p>
        </w:tc>
      </w:tr>
      <w:tr w:rsidR="009E79E8" w:rsidRPr="009E79E8" w14:paraId="42831223" w14:textId="77777777" w:rsidTr="009E79E8">
        <w:trPr>
          <w:trHeight w:val="624"/>
          <w:jc w:val="center"/>
        </w:trPr>
        <w:tc>
          <w:tcPr>
            <w:tcW w:w="2300" w:type="dxa"/>
            <w:tcBorders>
              <w:top w:val="nil"/>
              <w:left w:val="single" w:sz="4" w:space="0" w:color="auto"/>
              <w:bottom w:val="single" w:sz="4" w:space="0" w:color="auto"/>
              <w:right w:val="single" w:sz="4" w:space="0" w:color="auto"/>
            </w:tcBorders>
            <w:vAlign w:val="center"/>
            <w:hideMark/>
          </w:tcPr>
          <w:p w14:paraId="09EECC68"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Construction of wetlands/ponds</w:t>
            </w:r>
          </w:p>
        </w:tc>
        <w:tc>
          <w:tcPr>
            <w:tcW w:w="2720" w:type="dxa"/>
            <w:tcBorders>
              <w:top w:val="nil"/>
              <w:left w:val="nil"/>
              <w:bottom w:val="single" w:sz="4" w:space="0" w:color="auto"/>
              <w:right w:val="single" w:sz="4" w:space="0" w:color="auto"/>
            </w:tcBorders>
            <w:vAlign w:val="center"/>
            <w:hideMark/>
          </w:tcPr>
          <w:p w14:paraId="29246E8D"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2</w:t>
            </w:r>
          </w:p>
        </w:tc>
        <w:tc>
          <w:tcPr>
            <w:tcW w:w="1700" w:type="dxa"/>
            <w:tcBorders>
              <w:top w:val="nil"/>
              <w:left w:val="nil"/>
              <w:bottom w:val="single" w:sz="4" w:space="0" w:color="auto"/>
              <w:right w:val="single" w:sz="4" w:space="0" w:color="auto"/>
            </w:tcBorders>
            <w:vAlign w:val="center"/>
            <w:hideMark/>
          </w:tcPr>
          <w:p w14:paraId="75B1D69C"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2.20%</w:t>
            </w:r>
          </w:p>
        </w:tc>
      </w:tr>
      <w:tr w:rsidR="009E79E8" w:rsidRPr="009E79E8" w14:paraId="1749EF0D" w14:textId="77777777" w:rsidTr="009E79E8">
        <w:trPr>
          <w:trHeight w:val="312"/>
          <w:jc w:val="center"/>
        </w:trPr>
        <w:tc>
          <w:tcPr>
            <w:tcW w:w="2300" w:type="dxa"/>
            <w:tcBorders>
              <w:top w:val="nil"/>
              <w:left w:val="single" w:sz="4" w:space="0" w:color="auto"/>
              <w:bottom w:val="single" w:sz="4" w:space="0" w:color="auto"/>
              <w:right w:val="single" w:sz="4" w:space="0" w:color="auto"/>
            </w:tcBorders>
            <w:vAlign w:val="center"/>
            <w:hideMark/>
          </w:tcPr>
          <w:p w14:paraId="395B9F1C"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Hedgerows</w:t>
            </w:r>
          </w:p>
        </w:tc>
        <w:tc>
          <w:tcPr>
            <w:tcW w:w="2720" w:type="dxa"/>
            <w:tcBorders>
              <w:top w:val="nil"/>
              <w:left w:val="nil"/>
              <w:bottom w:val="single" w:sz="4" w:space="0" w:color="auto"/>
              <w:right w:val="single" w:sz="4" w:space="0" w:color="auto"/>
            </w:tcBorders>
            <w:vAlign w:val="center"/>
            <w:hideMark/>
          </w:tcPr>
          <w:p w14:paraId="0AF3B936"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w:t>
            </w:r>
          </w:p>
        </w:tc>
        <w:tc>
          <w:tcPr>
            <w:tcW w:w="1700" w:type="dxa"/>
            <w:tcBorders>
              <w:top w:val="nil"/>
              <w:left w:val="nil"/>
              <w:bottom w:val="single" w:sz="4" w:space="0" w:color="auto"/>
              <w:right w:val="single" w:sz="4" w:space="0" w:color="auto"/>
            </w:tcBorders>
            <w:vAlign w:val="center"/>
            <w:hideMark/>
          </w:tcPr>
          <w:p w14:paraId="4314FD65"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0.00%</w:t>
            </w:r>
          </w:p>
        </w:tc>
      </w:tr>
      <w:tr w:rsidR="009E79E8" w:rsidRPr="009E79E8" w14:paraId="5DCD4297" w14:textId="77777777" w:rsidTr="009E79E8">
        <w:trPr>
          <w:trHeight w:val="312"/>
          <w:jc w:val="center"/>
        </w:trPr>
        <w:tc>
          <w:tcPr>
            <w:tcW w:w="2300" w:type="dxa"/>
            <w:tcBorders>
              <w:top w:val="nil"/>
              <w:left w:val="single" w:sz="4" w:space="0" w:color="auto"/>
              <w:bottom w:val="single" w:sz="4" w:space="0" w:color="auto"/>
              <w:right w:val="single" w:sz="4" w:space="0" w:color="auto"/>
            </w:tcBorders>
            <w:vAlign w:val="center"/>
            <w:hideMark/>
          </w:tcPr>
          <w:p w14:paraId="0A6473A8"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Buffer strips</w:t>
            </w:r>
          </w:p>
        </w:tc>
        <w:tc>
          <w:tcPr>
            <w:tcW w:w="2720" w:type="dxa"/>
            <w:tcBorders>
              <w:top w:val="nil"/>
              <w:left w:val="nil"/>
              <w:bottom w:val="single" w:sz="4" w:space="0" w:color="auto"/>
              <w:right w:val="single" w:sz="4" w:space="0" w:color="auto"/>
            </w:tcBorders>
            <w:vAlign w:val="center"/>
            <w:hideMark/>
          </w:tcPr>
          <w:p w14:paraId="4AB5B4C5"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w:t>
            </w:r>
          </w:p>
        </w:tc>
        <w:tc>
          <w:tcPr>
            <w:tcW w:w="1700" w:type="dxa"/>
            <w:tcBorders>
              <w:top w:val="nil"/>
              <w:left w:val="nil"/>
              <w:bottom w:val="single" w:sz="4" w:space="0" w:color="auto"/>
              <w:right w:val="single" w:sz="4" w:space="0" w:color="auto"/>
            </w:tcBorders>
            <w:vAlign w:val="center"/>
            <w:hideMark/>
          </w:tcPr>
          <w:p w14:paraId="37E4C102"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0.00%</w:t>
            </w:r>
          </w:p>
        </w:tc>
      </w:tr>
      <w:tr w:rsidR="009E79E8" w:rsidRPr="009E79E8" w14:paraId="478CDF48" w14:textId="77777777" w:rsidTr="009E79E8">
        <w:trPr>
          <w:trHeight w:val="312"/>
          <w:jc w:val="center"/>
        </w:trPr>
        <w:tc>
          <w:tcPr>
            <w:tcW w:w="2300" w:type="dxa"/>
            <w:tcBorders>
              <w:top w:val="nil"/>
              <w:left w:val="single" w:sz="4" w:space="0" w:color="auto"/>
              <w:bottom w:val="single" w:sz="4" w:space="0" w:color="auto"/>
              <w:right w:val="single" w:sz="4" w:space="0" w:color="auto"/>
            </w:tcBorders>
            <w:vAlign w:val="center"/>
            <w:hideMark/>
          </w:tcPr>
          <w:p w14:paraId="26808508"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Mosaic farming</w:t>
            </w:r>
          </w:p>
        </w:tc>
        <w:tc>
          <w:tcPr>
            <w:tcW w:w="2720" w:type="dxa"/>
            <w:tcBorders>
              <w:top w:val="nil"/>
              <w:left w:val="nil"/>
              <w:bottom w:val="single" w:sz="4" w:space="0" w:color="auto"/>
              <w:right w:val="single" w:sz="4" w:space="0" w:color="auto"/>
            </w:tcBorders>
            <w:vAlign w:val="center"/>
            <w:hideMark/>
          </w:tcPr>
          <w:p w14:paraId="2B7C4625"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w:t>
            </w:r>
          </w:p>
        </w:tc>
        <w:tc>
          <w:tcPr>
            <w:tcW w:w="1700" w:type="dxa"/>
            <w:tcBorders>
              <w:top w:val="nil"/>
              <w:left w:val="nil"/>
              <w:bottom w:val="single" w:sz="4" w:space="0" w:color="auto"/>
              <w:right w:val="single" w:sz="4" w:space="0" w:color="auto"/>
            </w:tcBorders>
            <w:vAlign w:val="center"/>
            <w:hideMark/>
          </w:tcPr>
          <w:p w14:paraId="599BC2CC"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0.00%</w:t>
            </w:r>
          </w:p>
        </w:tc>
      </w:tr>
      <w:tr w:rsidR="009E79E8" w:rsidRPr="009E79E8" w14:paraId="6CD6063D" w14:textId="77777777" w:rsidTr="009E79E8">
        <w:trPr>
          <w:trHeight w:val="312"/>
          <w:jc w:val="center"/>
        </w:trPr>
        <w:tc>
          <w:tcPr>
            <w:tcW w:w="2300" w:type="dxa"/>
            <w:tcBorders>
              <w:top w:val="nil"/>
              <w:left w:val="single" w:sz="4" w:space="0" w:color="auto"/>
              <w:bottom w:val="single" w:sz="4" w:space="0" w:color="auto"/>
              <w:right w:val="single" w:sz="4" w:space="0" w:color="auto"/>
            </w:tcBorders>
            <w:vAlign w:val="center"/>
            <w:hideMark/>
          </w:tcPr>
          <w:p w14:paraId="025E9877"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Contour farming</w:t>
            </w:r>
          </w:p>
        </w:tc>
        <w:tc>
          <w:tcPr>
            <w:tcW w:w="2720" w:type="dxa"/>
            <w:tcBorders>
              <w:top w:val="nil"/>
              <w:left w:val="nil"/>
              <w:bottom w:val="single" w:sz="4" w:space="0" w:color="auto"/>
              <w:right w:val="single" w:sz="4" w:space="0" w:color="auto"/>
            </w:tcBorders>
            <w:vAlign w:val="center"/>
            <w:hideMark/>
          </w:tcPr>
          <w:p w14:paraId="020BAF67"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w:t>
            </w:r>
          </w:p>
        </w:tc>
        <w:tc>
          <w:tcPr>
            <w:tcW w:w="1700" w:type="dxa"/>
            <w:tcBorders>
              <w:top w:val="nil"/>
              <w:left w:val="nil"/>
              <w:bottom w:val="single" w:sz="4" w:space="0" w:color="auto"/>
              <w:right w:val="single" w:sz="4" w:space="0" w:color="auto"/>
            </w:tcBorders>
            <w:vAlign w:val="center"/>
            <w:hideMark/>
          </w:tcPr>
          <w:p w14:paraId="1554AF4E"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0.00%</w:t>
            </w:r>
          </w:p>
        </w:tc>
      </w:tr>
      <w:tr w:rsidR="009E79E8" w:rsidRPr="009E79E8" w14:paraId="333D537F" w14:textId="77777777" w:rsidTr="009E79E8">
        <w:trPr>
          <w:trHeight w:val="312"/>
          <w:jc w:val="center"/>
        </w:trPr>
        <w:tc>
          <w:tcPr>
            <w:tcW w:w="2300" w:type="dxa"/>
            <w:tcBorders>
              <w:top w:val="nil"/>
              <w:left w:val="single" w:sz="4" w:space="0" w:color="auto"/>
              <w:bottom w:val="single" w:sz="4" w:space="0" w:color="auto"/>
              <w:right w:val="single" w:sz="4" w:space="0" w:color="auto"/>
            </w:tcBorders>
            <w:vAlign w:val="center"/>
            <w:hideMark/>
          </w:tcPr>
          <w:p w14:paraId="69BA529B"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Agroforestry</w:t>
            </w:r>
          </w:p>
        </w:tc>
        <w:tc>
          <w:tcPr>
            <w:tcW w:w="2720" w:type="dxa"/>
            <w:tcBorders>
              <w:top w:val="nil"/>
              <w:left w:val="nil"/>
              <w:bottom w:val="single" w:sz="4" w:space="0" w:color="auto"/>
              <w:right w:val="single" w:sz="4" w:space="0" w:color="auto"/>
            </w:tcBorders>
            <w:vAlign w:val="center"/>
            <w:hideMark/>
          </w:tcPr>
          <w:p w14:paraId="2BFFE318"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w:t>
            </w:r>
          </w:p>
        </w:tc>
        <w:tc>
          <w:tcPr>
            <w:tcW w:w="1700" w:type="dxa"/>
            <w:tcBorders>
              <w:top w:val="nil"/>
              <w:left w:val="nil"/>
              <w:bottom w:val="single" w:sz="4" w:space="0" w:color="auto"/>
              <w:right w:val="single" w:sz="4" w:space="0" w:color="auto"/>
            </w:tcBorders>
            <w:vAlign w:val="center"/>
            <w:hideMark/>
          </w:tcPr>
          <w:p w14:paraId="12B7E0F2"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0.00%</w:t>
            </w:r>
          </w:p>
        </w:tc>
      </w:tr>
    </w:tbl>
    <w:p w14:paraId="77309126" w14:textId="77777777" w:rsidR="009E79E8" w:rsidRPr="001E285D" w:rsidRDefault="009E79E8" w:rsidP="009E79E8">
      <w:pPr>
        <w:spacing w:line="360" w:lineRule="auto"/>
        <w:jc w:val="center"/>
        <w:rPr>
          <w:rFonts w:ascii="Times New Roman" w:hAnsi="Times New Roman" w:cs="Times New Roman"/>
          <w:lang w:val="bg-BG"/>
        </w:rPr>
      </w:pPr>
      <w:r w:rsidRPr="001E285D">
        <w:rPr>
          <w:rFonts w:ascii="Times New Roman" w:hAnsi="Times New Roman" w:cs="Times New Roman"/>
        </w:rPr>
        <w:t>Source: Own calculations</w:t>
      </w:r>
    </w:p>
    <w:p w14:paraId="574A051C" w14:textId="2A1D533F" w:rsidR="009E79E8" w:rsidRDefault="009E79E8" w:rsidP="009E79E8">
      <w:pPr>
        <w:spacing w:line="360" w:lineRule="auto"/>
        <w:ind w:firstLine="720"/>
        <w:jc w:val="both"/>
        <w:rPr>
          <w:rFonts w:ascii="Times New Roman" w:hAnsi="Times New Roman" w:cs="Times New Roman"/>
        </w:rPr>
      </w:pPr>
      <w:r w:rsidRPr="009E79E8">
        <w:rPr>
          <w:rFonts w:ascii="Times New Roman" w:hAnsi="Times New Roman" w:cs="Times New Roman"/>
        </w:rPr>
        <w:t>More than half of the respondents indicate that they would invest in sustainable practices only if subsidies cover at least 50–75% of the costs. The willingness to invest in sustainable practices is presented in the following table:</w:t>
      </w:r>
    </w:p>
    <w:p w14:paraId="4ED5ADE1" w14:textId="302C2957" w:rsidR="009E79E8" w:rsidRDefault="009E79E8" w:rsidP="009E79E8">
      <w:pPr>
        <w:spacing w:line="360" w:lineRule="auto"/>
        <w:ind w:firstLine="720"/>
        <w:jc w:val="center"/>
        <w:rPr>
          <w:rFonts w:ascii="Times New Roman" w:hAnsi="Times New Roman" w:cs="Times New Roman"/>
        </w:rPr>
      </w:pPr>
      <w:r w:rsidRPr="009E79E8">
        <w:rPr>
          <w:rFonts w:ascii="Times New Roman" w:hAnsi="Times New Roman" w:cs="Times New Roman"/>
        </w:rPr>
        <w:t>Table 35. Willingness to invest in sustainable practices</w:t>
      </w:r>
    </w:p>
    <w:tbl>
      <w:tblPr>
        <w:tblW w:w="6720" w:type="dxa"/>
        <w:jc w:val="center"/>
        <w:tblLook w:val="04A0" w:firstRow="1" w:lastRow="0" w:firstColumn="1" w:lastColumn="0" w:noHBand="0" w:noVBand="1"/>
      </w:tblPr>
      <w:tblGrid>
        <w:gridCol w:w="2300"/>
        <w:gridCol w:w="2720"/>
        <w:gridCol w:w="1700"/>
      </w:tblGrid>
      <w:tr w:rsidR="009E79E8" w:rsidRPr="009E79E8" w14:paraId="32FF5A24" w14:textId="77777777" w:rsidTr="009E79E8">
        <w:trPr>
          <w:trHeight w:val="312"/>
          <w:jc w:val="center"/>
        </w:trPr>
        <w:tc>
          <w:tcPr>
            <w:tcW w:w="2300" w:type="dxa"/>
            <w:tcBorders>
              <w:top w:val="single" w:sz="4" w:space="0" w:color="auto"/>
              <w:left w:val="single" w:sz="4" w:space="0" w:color="auto"/>
              <w:bottom w:val="single" w:sz="4" w:space="0" w:color="auto"/>
              <w:right w:val="single" w:sz="4" w:space="0" w:color="auto"/>
            </w:tcBorders>
            <w:vAlign w:val="center"/>
            <w:hideMark/>
          </w:tcPr>
          <w:p w14:paraId="319BC36C" w14:textId="77777777" w:rsidR="009E79E8" w:rsidRPr="009E79E8" w:rsidRDefault="009E79E8" w:rsidP="009E79E8">
            <w:pPr>
              <w:spacing w:after="0" w:line="240" w:lineRule="auto"/>
              <w:jc w:val="center"/>
              <w:rPr>
                <w:rFonts w:ascii="Times New Roman" w:eastAsia="Times New Roman" w:hAnsi="Times New Roman" w:cs="Times New Roman"/>
                <w:b/>
                <w:bCs/>
                <w:color w:val="1F1F1F"/>
                <w:kern w:val="0"/>
                <w14:ligatures w14:val="none"/>
              </w:rPr>
            </w:pPr>
            <w:r w:rsidRPr="009E79E8">
              <w:rPr>
                <w:rFonts w:ascii="Times New Roman" w:eastAsia="Times New Roman" w:hAnsi="Times New Roman" w:cs="Times New Roman"/>
                <w:b/>
                <w:bCs/>
                <w:color w:val="1F1F1F"/>
                <w:kern w:val="0"/>
                <w14:ligatures w14:val="none"/>
              </w:rPr>
              <w:t>Response</w:t>
            </w:r>
          </w:p>
        </w:tc>
        <w:tc>
          <w:tcPr>
            <w:tcW w:w="2720" w:type="dxa"/>
            <w:tcBorders>
              <w:top w:val="single" w:sz="4" w:space="0" w:color="auto"/>
              <w:left w:val="nil"/>
              <w:bottom w:val="single" w:sz="4" w:space="0" w:color="auto"/>
              <w:right w:val="single" w:sz="4" w:space="0" w:color="auto"/>
            </w:tcBorders>
            <w:vAlign w:val="center"/>
            <w:hideMark/>
          </w:tcPr>
          <w:p w14:paraId="3FA4C938" w14:textId="77777777" w:rsidR="009E79E8" w:rsidRPr="009E79E8" w:rsidRDefault="009E79E8" w:rsidP="009E79E8">
            <w:pPr>
              <w:spacing w:after="0" w:line="240" w:lineRule="auto"/>
              <w:jc w:val="center"/>
              <w:rPr>
                <w:rFonts w:ascii="Times New Roman" w:eastAsia="Times New Roman" w:hAnsi="Times New Roman" w:cs="Times New Roman"/>
                <w:b/>
                <w:bCs/>
                <w:color w:val="1F1F1F"/>
                <w:kern w:val="0"/>
                <w14:ligatures w14:val="none"/>
              </w:rPr>
            </w:pPr>
            <w:r w:rsidRPr="009E79E8">
              <w:rPr>
                <w:rFonts w:ascii="Times New Roman" w:eastAsia="Times New Roman" w:hAnsi="Times New Roman" w:cs="Times New Roman"/>
                <w:b/>
                <w:bCs/>
                <w:color w:val="1F1F1F"/>
                <w:kern w:val="0"/>
                <w14:ligatures w14:val="none"/>
              </w:rPr>
              <w:t>Count</w:t>
            </w:r>
          </w:p>
        </w:tc>
        <w:tc>
          <w:tcPr>
            <w:tcW w:w="1700" w:type="dxa"/>
            <w:tcBorders>
              <w:top w:val="single" w:sz="4" w:space="0" w:color="auto"/>
              <w:left w:val="nil"/>
              <w:bottom w:val="single" w:sz="4" w:space="0" w:color="auto"/>
              <w:right w:val="single" w:sz="4" w:space="0" w:color="auto"/>
            </w:tcBorders>
            <w:vAlign w:val="center"/>
            <w:hideMark/>
          </w:tcPr>
          <w:p w14:paraId="2FC85205" w14:textId="77777777" w:rsidR="009E79E8" w:rsidRPr="009E79E8" w:rsidRDefault="009E79E8" w:rsidP="009E79E8">
            <w:pPr>
              <w:spacing w:after="0" w:line="240" w:lineRule="auto"/>
              <w:jc w:val="center"/>
              <w:rPr>
                <w:rFonts w:ascii="Times New Roman" w:eastAsia="Times New Roman" w:hAnsi="Times New Roman" w:cs="Times New Roman"/>
                <w:b/>
                <w:bCs/>
                <w:color w:val="1F1F1F"/>
                <w:kern w:val="0"/>
                <w14:ligatures w14:val="none"/>
              </w:rPr>
            </w:pPr>
            <w:r w:rsidRPr="009E79E8">
              <w:rPr>
                <w:rFonts w:ascii="Times New Roman" w:eastAsia="Times New Roman" w:hAnsi="Times New Roman" w:cs="Times New Roman"/>
                <w:b/>
                <w:bCs/>
                <w:color w:val="1F1F1F"/>
                <w:kern w:val="0"/>
                <w14:ligatures w14:val="none"/>
              </w:rPr>
              <w:t>Share (%)</w:t>
            </w:r>
          </w:p>
        </w:tc>
      </w:tr>
      <w:tr w:rsidR="009E79E8" w:rsidRPr="009E79E8" w14:paraId="43226AFE" w14:textId="77777777" w:rsidTr="009E79E8">
        <w:trPr>
          <w:trHeight w:val="624"/>
          <w:jc w:val="center"/>
        </w:trPr>
        <w:tc>
          <w:tcPr>
            <w:tcW w:w="2300" w:type="dxa"/>
            <w:tcBorders>
              <w:top w:val="nil"/>
              <w:left w:val="single" w:sz="4" w:space="0" w:color="auto"/>
              <w:bottom w:val="single" w:sz="4" w:space="0" w:color="auto"/>
              <w:right w:val="single" w:sz="4" w:space="0" w:color="auto"/>
            </w:tcBorders>
            <w:vAlign w:val="center"/>
            <w:hideMark/>
          </w:tcPr>
          <w:p w14:paraId="0931E622"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Ready to invest immediately</w:t>
            </w:r>
          </w:p>
        </w:tc>
        <w:tc>
          <w:tcPr>
            <w:tcW w:w="2720" w:type="dxa"/>
            <w:tcBorders>
              <w:top w:val="nil"/>
              <w:left w:val="nil"/>
              <w:bottom w:val="single" w:sz="4" w:space="0" w:color="auto"/>
              <w:right w:val="single" w:sz="4" w:space="0" w:color="auto"/>
            </w:tcBorders>
            <w:vAlign w:val="center"/>
            <w:hideMark/>
          </w:tcPr>
          <w:p w14:paraId="5A564BAA"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11</w:t>
            </w:r>
          </w:p>
        </w:tc>
        <w:tc>
          <w:tcPr>
            <w:tcW w:w="1700" w:type="dxa"/>
            <w:tcBorders>
              <w:top w:val="nil"/>
              <w:left w:val="nil"/>
              <w:bottom w:val="single" w:sz="4" w:space="0" w:color="auto"/>
              <w:right w:val="single" w:sz="4" w:space="0" w:color="auto"/>
            </w:tcBorders>
            <w:vAlign w:val="center"/>
            <w:hideMark/>
          </w:tcPr>
          <w:p w14:paraId="3BA1A421"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0.12</w:t>
            </w:r>
          </w:p>
        </w:tc>
      </w:tr>
      <w:tr w:rsidR="009E79E8" w:rsidRPr="009E79E8" w14:paraId="641030C1" w14:textId="77777777" w:rsidTr="009E79E8">
        <w:trPr>
          <w:trHeight w:val="624"/>
          <w:jc w:val="center"/>
        </w:trPr>
        <w:tc>
          <w:tcPr>
            <w:tcW w:w="2300" w:type="dxa"/>
            <w:tcBorders>
              <w:top w:val="nil"/>
              <w:left w:val="single" w:sz="4" w:space="0" w:color="auto"/>
              <w:bottom w:val="single" w:sz="4" w:space="0" w:color="auto"/>
              <w:right w:val="single" w:sz="4" w:space="0" w:color="auto"/>
            </w:tcBorders>
            <w:vAlign w:val="center"/>
            <w:hideMark/>
          </w:tcPr>
          <w:p w14:paraId="1A6F666C"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Would invest with a 50% subsidy</w:t>
            </w:r>
          </w:p>
        </w:tc>
        <w:tc>
          <w:tcPr>
            <w:tcW w:w="2720" w:type="dxa"/>
            <w:tcBorders>
              <w:top w:val="nil"/>
              <w:left w:val="nil"/>
              <w:bottom w:val="single" w:sz="4" w:space="0" w:color="auto"/>
              <w:right w:val="single" w:sz="4" w:space="0" w:color="auto"/>
            </w:tcBorders>
            <w:vAlign w:val="center"/>
            <w:hideMark/>
          </w:tcPr>
          <w:p w14:paraId="3EB8F009"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33</w:t>
            </w:r>
          </w:p>
        </w:tc>
        <w:tc>
          <w:tcPr>
            <w:tcW w:w="1700" w:type="dxa"/>
            <w:tcBorders>
              <w:top w:val="nil"/>
              <w:left w:val="nil"/>
              <w:bottom w:val="single" w:sz="4" w:space="0" w:color="auto"/>
              <w:right w:val="single" w:sz="4" w:space="0" w:color="auto"/>
            </w:tcBorders>
            <w:vAlign w:val="center"/>
            <w:hideMark/>
          </w:tcPr>
          <w:p w14:paraId="57DD68F4"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0.359</w:t>
            </w:r>
          </w:p>
        </w:tc>
      </w:tr>
      <w:tr w:rsidR="009E79E8" w:rsidRPr="009E79E8" w14:paraId="5249A8A1" w14:textId="77777777" w:rsidTr="009E79E8">
        <w:trPr>
          <w:trHeight w:val="624"/>
          <w:jc w:val="center"/>
        </w:trPr>
        <w:tc>
          <w:tcPr>
            <w:tcW w:w="2300" w:type="dxa"/>
            <w:tcBorders>
              <w:top w:val="nil"/>
              <w:left w:val="single" w:sz="4" w:space="0" w:color="auto"/>
              <w:bottom w:val="single" w:sz="4" w:space="0" w:color="auto"/>
              <w:right w:val="single" w:sz="4" w:space="0" w:color="auto"/>
            </w:tcBorders>
            <w:vAlign w:val="center"/>
            <w:hideMark/>
          </w:tcPr>
          <w:p w14:paraId="5C2B4D54"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Only if the subsidy covers over 75%</w:t>
            </w:r>
          </w:p>
        </w:tc>
        <w:tc>
          <w:tcPr>
            <w:tcW w:w="2720" w:type="dxa"/>
            <w:tcBorders>
              <w:top w:val="nil"/>
              <w:left w:val="nil"/>
              <w:bottom w:val="single" w:sz="4" w:space="0" w:color="auto"/>
              <w:right w:val="single" w:sz="4" w:space="0" w:color="auto"/>
            </w:tcBorders>
            <w:vAlign w:val="center"/>
            <w:hideMark/>
          </w:tcPr>
          <w:p w14:paraId="04427AF7"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25</w:t>
            </w:r>
          </w:p>
        </w:tc>
        <w:tc>
          <w:tcPr>
            <w:tcW w:w="1700" w:type="dxa"/>
            <w:tcBorders>
              <w:top w:val="nil"/>
              <w:left w:val="nil"/>
              <w:bottom w:val="single" w:sz="4" w:space="0" w:color="auto"/>
              <w:right w:val="single" w:sz="4" w:space="0" w:color="auto"/>
            </w:tcBorders>
            <w:vAlign w:val="center"/>
            <w:hideMark/>
          </w:tcPr>
          <w:p w14:paraId="05741B58"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0.272</w:t>
            </w:r>
          </w:p>
        </w:tc>
      </w:tr>
      <w:tr w:rsidR="009E79E8" w:rsidRPr="009E79E8" w14:paraId="4842662C" w14:textId="77777777" w:rsidTr="009E79E8">
        <w:trPr>
          <w:trHeight w:val="624"/>
          <w:jc w:val="center"/>
        </w:trPr>
        <w:tc>
          <w:tcPr>
            <w:tcW w:w="2300" w:type="dxa"/>
            <w:tcBorders>
              <w:top w:val="nil"/>
              <w:left w:val="single" w:sz="4" w:space="0" w:color="auto"/>
              <w:bottom w:val="single" w:sz="4" w:space="0" w:color="auto"/>
              <w:right w:val="single" w:sz="4" w:space="0" w:color="auto"/>
            </w:tcBorders>
            <w:vAlign w:val="center"/>
            <w:hideMark/>
          </w:tcPr>
          <w:p w14:paraId="6ED70206"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lastRenderedPageBreak/>
              <w:t>Will not invest, even with support</w:t>
            </w:r>
          </w:p>
        </w:tc>
        <w:tc>
          <w:tcPr>
            <w:tcW w:w="2720" w:type="dxa"/>
            <w:tcBorders>
              <w:top w:val="nil"/>
              <w:left w:val="nil"/>
              <w:bottom w:val="single" w:sz="4" w:space="0" w:color="auto"/>
              <w:right w:val="single" w:sz="4" w:space="0" w:color="auto"/>
            </w:tcBorders>
            <w:vAlign w:val="center"/>
            <w:hideMark/>
          </w:tcPr>
          <w:p w14:paraId="4975A2B4"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7</w:t>
            </w:r>
          </w:p>
        </w:tc>
        <w:tc>
          <w:tcPr>
            <w:tcW w:w="1700" w:type="dxa"/>
            <w:tcBorders>
              <w:top w:val="nil"/>
              <w:left w:val="nil"/>
              <w:bottom w:val="single" w:sz="4" w:space="0" w:color="auto"/>
              <w:right w:val="single" w:sz="4" w:space="0" w:color="auto"/>
            </w:tcBorders>
            <w:vAlign w:val="center"/>
            <w:hideMark/>
          </w:tcPr>
          <w:p w14:paraId="40EFBD6A"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0.076</w:t>
            </w:r>
          </w:p>
        </w:tc>
      </w:tr>
      <w:tr w:rsidR="009E79E8" w:rsidRPr="009E79E8" w14:paraId="4DD91C6B" w14:textId="77777777" w:rsidTr="009E79E8">
        <w:trPr>
          <w:trHeight w:val="624"/>
          <w:jc w:val="center"/>
        </w:trPr>
        <w:tc>
          <w:tcPr>
            <w:tcW w:w="2300" w:type="dxa"/>
            <w:tcBorders>
              <w:top w:val="nil"/>
              <w:left w:val="single" w:sz="4" w:space="0" w:color="auto"/>
              <w:bottom w:val="single" w:sz="4" w:space="0" w:color="auto"/>
              <w:right w:val="single" w:sz="4" w:space="0" w:color="auto"/>
            </w:tcBorders>
            <w:vAlign w:val="center"/>
            <w:hideMark/>
          </w:tcPr>
          <w:p w14:paraId="36567795"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Not enough information to decide</w:t>
            </w:r>
          </w:p>
        </w:tc>
        <w:tc>
          <w:tcPr>
            <w:tcW w:w="2720" w:type="dxa"/>
            <w:tcBorders>
              <w:top w:val="nil"/>
              <w:left w:val="nil"/>
              <w:bottom w:val="single" w:sz="4" w:space="0" w:color="auto"/>
              <w:right w:val="single" w:sz="4" w:space="0" w:color="auto"/>
            </w:tcBorders>
            <w:vAlign w:val="center"/>
            <w:hideMark/>
          </w:tcPr>
          <w:p w14:paraId="2E36618D"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16</w:t>
            </w:r>
          </w:p>
        </w:tc>
        <w:tc>
          <w:tcPr>
            <w:tcW w:w="1700" w:type="dxa"/>
            <w:tcBorders>
              <w:top w:val="nil"/>
              <w:left w:val="nil"/>
              <w:bottom w:val="single" w:sz="4" w:space="0" w:color="auto"/>
              <w:right w:val="single" w:sz="4" w:space="0" w:color="auto"/>
            </w:tcBorders>
            <w:vAlign w:val="center"/>
            <w:hideMark/>
          </w:tcPr>
          <w:p w14:paraId="77493091" w14:textId="77777777" w:rsidR="009E79E8" w:rsidRPr="009E79E8" w:rsidRDefault="009E79E8" w:rsidP="009E79E8">
            <w:pPr>
              <w:spacing w:after="0" w:line="240" w:lineRule="auto"/>
              <w:jc w:val="center"/>
              <w:rPr>
                <w:rFonts w:ascii="Times New Roman" w:eastAsia="Times New Roman" w:hAnsi="Times New Roman" w:cs="Times New Roman"/>
                <w:color w:val="1F1F1F"/>
                <w:kern w:val="0"/>
                <w14:ligatures w14:val="none"/>
              </w:rPr>
            </w:pPr>
            <w:r w:rsidRPr="009E79E8">
              <w:rPr>
                <w:rFonts w:ascii="Times New Roman" w:eastAsia="Times New Roman" w:hAnsi="Times New Roman" w:cs="Times New Roman"/>
                <w:color w:val="1F1F1F"/>
                <w:kern w:val="0"/>
                <w14:ligatures w14:val="none"/>
              </w:rPr>
              <w:t>0.174</w:t>
            </w:r>
          </w:p>
        </w:tc>
      </w:tr>
    </w:tbl>
    <w:p w14:paraId="694FD860" w14:textId="77777777" w:rsidR="009E79E8" w:rsidRDefault="009E79E8" w:rsidP="009E79E8">
      <w:pPr>
        <w:spacing w:line="360" w:lineRule="auto"/>
        <w:jc w:val="center"/>
        <w:rPr>
          <w:rFonts w:ascii="Times New Roman" w:hAnsi="Times New Roman" w:cs="Times New Roman"/>
        </w:rPr>
      </w:pPr>
      <w:r w:rsidRPr="001E285D">
        <w:rPr>
          <w:rFonts w:ascii="Times New Roman" w:hAnsi="Times New Roman" w:cs="Times New Roman"/>
        </w:rPr>
        <w:t>Source: Own calculations</w:t>
      </w:r>
    </w:p>
    <w:p w14:paraId="7C20CFA8" w14:textId="77777777" w:rsidR="00A51D3E" w:rsidRPr="00A51D3E" w:rsidRDefault="00A51D3E" w:rsidP="00A51D3E">
      <w:pPr>
        <w:spacing w:line="360" w:lineRule="auto"/>
        <w:ind w:firstLine="720"/>
        <w:jc w:val="both"/>
        <w:rPr>
          <w:rFonts w:ascii="Times New Roman" w:hAnsi="Times New Roman" w:cs="Times New Roman"/>
        </w:rPr>
      </w:pPr>
      <w:r w:rsidRPr="00A51D3E">
        <w:rPr>
          <w:rFonts w:ascii="Times New Roman" w:hAnsi="Times New Roman" w:cs="Times New Roman"/>
        </w:rPr>
        <w:t>This indicates that financial support remains a key factor for the success of the transition to sustainability. The results from the focus groups confirm the survey data and reveal additional nuances. Participants emphasize that the lack of a clear and long-term vision for state support creates uncertainty and hinders investment planning. At the same time, they express a readiness for change if they receive appropriate technical and financial support, as well as better access to advisory services. The need for training tailored to the specifics of different regions and types of farms is mentioned particularly often.</w:t>
      </w:r>
    </w:p>
    <w:p w14:paraId="11CB57C5" w14:textId="77777777" w:rsidR="00A51D3E" w:rsidRDefault="00A51D3E" w:rsidP="00A51D3E">
      <w:pPr>
        <w:spacing w:line="360" w:lineRule="auto"/>
        <w:jc w:val="both"/>
        <w:rPr>
          <w:rFonts w:ascii="Times New Roman" w:hAnsi="Times New Roman" w:cs="Times New Roman"/>
        </w:rPr>
      </w:pPr>
      <w:r w:rsidRPr="00A51D3E">
        <w:rPr>
          <w:rFonts w:ascii="Times New Roman" w:hAnsi="Times New Roman" w:cs="Times New Roman"/>
        </w:rPr>
        <w:t>An important place in the analysis is occupied by the results of the SWOT analysis. The main strengths, weaknesses, opportunities, and threats identified by the participants in the survey and focus groups are summarized in the following SWOT matrix:</w:t>
      </w:r>
    </w:p>
    <w:p w14:paraId="7DE924E6" w14:textId="4B2E8512" w:rsidR="00A51D3E" w:rsidRDefault="00273EA2" w:rsidP="00273EA2">
      <w:pPr>
        <w:spacing w:line="360" w:lineRule="auto"/>
        <w:jc w:val="center"/>
        <w:rPr>
          <w:rFonts w:ascii="Times New Roman" w:hAnsi="Times New Roman" w:cs="Times New Roman"/>
        </w:rPr>
      </w:pPr>
      <w:r w:rsidRPr="00273EA2">
        <w:rPr>
          <w:rFonts w:ascii="Times New Roman" w:hAnsi="Times New Roman" w:cs="Times New Roman"/>
        </w:rPr>
        <w:t>Table 54. Results from the SWOT analysis</w:t>
      </w:r>
    </w:p>
    <w:tbl>
      <w:tblPr>
        <w:tblW w:w="9720" w:type="dxa"/>
        <w:tblLook w:val="04A0" w:firstRow="1" w:lastRow="0" w:firstColumn="1" w:lastColumn="0" w:noHBand="0" w:noVBand="1"/>
      </w:tblPr>
      <w:tblGrid>
        <w:gridCol w:w="4840"/>
        <w:gridCol w:w="4880"/>
      </w:tblGrid>
      <w:tr w:rsidR="00A51D3E" w:rsidRPr="00A51D3E" w14:paraId="028B9BCA" w14:textId="77777777" w:rsidTr="00A51D3E">
        <w:trPr>
          <w:trHeight w:val="792"/>
        </w:trPr>
        <w:tc>
          <w:tcPr>
            <w:tcW w:w="4840"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7CA844C0" w14:textId="77777777" w:rsidR="00A51D3E" w:rsidRPr="00A51D3E" w:rsidRDefault="00A51D3E" w:rsidP="00A51D3E">
            <w:pPr>
              <w:spacing w:after="0" w:line="240" w:lineRule="auto"/>
              <w:jc w:val="center"/>
              <w:rPr>
                <w:rFonts w:ascii="Times New Roman" w:eastAsia="Times New Roman" w:hAnsi="Times New Roman" w:cs="Times New Roman"/>
                <w:b/>
                <w:bCs/>
                <w:color w:val="1F1F1F"/>
                <w:kern w:val="0"/>
                <w14:ligatures w14:val="none"/>
              </w:rPr>
            </w:pPr>
            <w:r w:rsidRPr="00A51D3E">
              <w:rPr>
                <w:rFonts w:ascii="Times New Roman" w:eastAsia="Times New Roman" w:hAnsi="Times New Roman" w:cs="Times New Roman"/>
                <w:b/>
                <w:bCs/>
                <w:color w:val="1F1F1F"/>
                <w:kern w:val="0"/>
                <w14:ligatures w14:val="none"/>
              </w:rPr>
              <w:t>STRENGTHS</w:t>
            </w:r>
          </w:p>
        </w:tc>
        <w:tc>
          <w:tcPr>
            <w:tcW w:w="4880" w:type="dxa"/>
            <w:tcBorders>
              <w:top w:val="single" w:sz="4" w:space="0" w:color="auto"/>
              <w:left w:val="nil"/>
              <w:bottom w:val="single" w:sz="4" w:space="0" w:color="auto"/>
              <w:right w:val="single" w:sz="4" w:space="0" w:color="auto"/>
            </w:tcBorders>
            <w:shd w:val="clear" w:color="000000" w:fill="D9E1F2"/>
            <w:vAlign w:val="center"/>
            <w:hideMark/>
          </w:tcPr>
          <w:p w14:paraId="5E627767" w14:textId="77777777" w:rsidR="00A51D3E" w:rsidRPr="00A51D3E" w:rsidRDefault="00A51D3E" w:rsidP="00A51D3E">
            <w:pPr>
              <w:spacing w:after="0" w:line="240" w:lineRule="auto"/>
              <w:jc w:val="center"/>
              <w:rPr>
                <w:rFonts w:ascii="Times New Roman" w:eastAsia="Times New Roman" w:hAnsi="Times New Roman" w:cs="Times New Roman"/>
                <w:b/>
                <w:bCs/>
                <w:color w:val="1F1F1F"/>
                <w:kern w:val="0"/>
                <w14:ligatures w14:val="none"/>
              </w:rPr>
            </w:pPr>
            <w:r w:rsidRPr="00A51D3E">
              <w:rPr>
                <w:rFonts w:ascii="Times New Roman" w:eastAsia="Times New Roman" w:hAnsi="Times New Roman" w:cs="Times New Roman"/>
                <w:b/>
                <w:bCs/>
                <w:color w:val="1F1F1F"/>
                <w:kern w:val="0"/>
                <w14:ligatures w14:val="none"/>
              </w:rPr>
              <w:t>WEAKNESSES</w:t>
            </w:r>
          </w:p>
        </w:tc>
      </w:tr>
      <w:tr w:rsidR="00A51D3E" w:rsidRPr="00A51D3E" w14:paraId="083AD791" w14:textId="77777777" w:rsidTr="00A51D3E">
        <w:trPr>
          <w:trHeight w:val="936"/>
        </w:trPr>
        <w:tc>
          <w:tcPr>
            <w:tcW w:w="4840" w:type="dxa"/>
            <w:tcBorders>
              <w:top w:val="nil"/>
              <w:left w:val="single" w:sz="4" w:space="0" w:color="auto"/>
              <w:bottom w:val="single" w:sz="4" w:space="0" w:color="auto"/>
              <w:right w:val="single" w:sz="4" w:space="0" w:color="auto"/>
            </w:tcBorders>
            <w:vAlign w:val="center"/>
            <w:hideMark/>
          </w:tcPr>
          <w:p w14:paraId="40E4410A"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Many years of practical and management experience of farmers</w:t>
            </w:r>
          </w:p>
        </w:tc>
        <w:tc>
          <w:tcPr>
            <w:tcW w:w="4880" w:type="dxa"/>
            <w:tcBorders>
              <w:top w:val="nil"/>
              <w:left w:val="nil"/>
              <w:bottom w:val="single" w:sz="4" w:space="0" w:color="auto"/>
              <w:right w:val="single" w:sz="4" w:space="0" w:color="auto"/>
            </w:tcBorders>
            <w:vAlign w:val="center"/>
            <w:hideMark/>
          </w:tcPr>
          <w:p w14:paraId="0FA0005E"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High production costs (materials, labor, energy)</w:t>
            </w:r>
          </w:p>
        </w:tc>
      </w:tr>
      <w:tr w:rsidR="00A51D3E" w:rsidRPr="00A51D3E" w14:paraId="012A7172" w14:textId="77777777" w:rsidTr="00A51D3E">
        <w:trPr>
          <w:trHeight w:val="624"/>
        </w:trPr>
        <w:tc>
          <w:tcPr>
            <w:tcW w:w="4840" w:type="dxa"/>
            <w:tcBorders>
              <w:top w:val="nil"/>
              <w:left w:val="single" w:sz="4" w:space="0" w:color="auto"/>
              <w:bottom w:val="single" w:sz="4" w:space="0" w:color="auto"/>
              <w:right w:val="single" w:sz="4" w:space="0" w:color="auto"/>
            </w:tcBorders>
            <w:vAlign w:val="center"/>
            <w:hideMark/>
          </w:tcPr>
          <w:p w14:paraId="546C78BE"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Availability of modern machinery and storage facilities</w:t>
            </w:r>
          </w:p>
        </w:tc>
        <w:tc>
          <w:tcPr>
            <w:tcW w:w="4880" w:type="dxa"/>
            <w:tcBorders>
              <w:top w:val="nil"/>
              <w:left w:val="nil"/>
              <w:bottom w:val="single" w:sz="4" w:space="0" w:color="auto"/>
              <w:right w:val="single" w:sz="4" w:space="0" w:color="auto"/>
            </w:tcBorders>
            <w:vAlign w:val="center"/>
            <w:hideMark/>
          </w:tcPr>
          <w:p w14:paraId="6060EB29"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Lack of own land and high rents</w:t>
            </w:r>
          </w:p>
        </w:tc>
      </w:tr>
      <w:tr w:rsidR="00A51D3E" w:rsidRPr="00A51D3E" w14:paraId="6A966110" w14:textId="77777777" w:rsidTr="00A51D3E">
        <w:trPr>
          <w:trHeight w:val="624"/>
        </w:trPr>
        <w:tc>
          <w:tcPr>
            <w:tcW w:w="4840" w:type="dxa"/>
            <w:tcBorders>
              <w:top w:val="nil"/>
              <w:left w:val="single" w:sz="4" w:space="0" w:color="auto"/>
              <w:bottom w:val="single" w:sz="4" w:space="0" w:color="auto"/>
              <w:right w:val="single" w:sz="4" w:space="0" w:color="auto"/>
            </w:tcBorders>
            <w:vAlign w:val="center"/>
            <w:hideMark/>
          </w:tcPr>
          <w:p w14:paraId="544EC4F5"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Stable commercial relations and market network</w:t>
            </w:r>
          </w:p>
        </w:tc>
        <w:tc>
          <w:tcPr>
            <w:tcW w:w="4880" w:type="dxa"/>
            <w:tcBorders>
              <w:top w:val="nil"/>
              <w:left w:val="nil"/>
              <w:bottom w:val="single" w:sz="4" w:space="0" w:color="auto"/>
              <w:right w:val="single" w:sz="4" w:space="0" w:color="auto"/>
            </w:tcBorders>
            <w:vAlign w:val="center"/>
            <w:hideMark/>
          </w:tcPr>
          <w:p w14:paraId="6CE6BABA"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Shortage of qualified workforce</w:t>
            </w:r>
          </w:p>
        </w:tc>
      </w:tr>
      <w:tr w:rsidR="00A51D3E" w:rsidRPr="00A51D3E" w14:paraId="22B84741" w14:textId="77777777" w:rsidTr="00A51D3E">
        <w:trPr>
          <w:trHeight w:val="1248"/>
        </w:trPr>
        <w:tc>
          <w:tcPr>
            <w:tcW w:w="4840" w:type="dxa"/>
            <w:tcBorders>
              <w:top w:val="nil"/>
              <w:left w:val="single" w:sz="4" w:space="0" w:color="auto"/>
              <w:bottom w:val="single" w:sz="4" w:space="0" w:color="auto"/>
              <w:right w:val="single" w:sz="4" w:space="0" w:color="auto"/>
            </w:tcBorders>
            <w:vAlign w:val="center"/>
            <w:hideMark/>
          </w:tcPr>
          <w:p w14:paraId="26168771"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Application of sustainable practices such as No-till, cover crops, inhibited fertilizers</w:t>
            </w:r>
          </w:p>
        </w:tc>
        <w:tc>
          <w:tcPr>
            <w:tcW w:w="4880" w:type="dxa"/>
            <w:tcBorders>
              <w:top w:val="nil"/>
              <w:left w:val="nil"/>
              <w:bottom w:val="single" w:sz="4" w:space="0" w:color="auto"/>
              <w:right w:val="single" w:sz="4" w:space="0" w:color="auto"/>
            </w:tcBorders>
            <w:vAlign w:val="center"/>
            <w:hideMark/>
          </w:tcPr>
          <w:p w14:paraId="4956D1B7"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Dependence on subsidies as the main source of income</w:t>
            </w:r>
          </w:p>
        </w:tc>
      </w:tr>
      <w:tr w:rsidR="00A51D3E" w:rsidRPr="00A51D3E" w14:paraId="7DBFA222" w14:textId="77777777" w:rsidTr="00A51D3E">
        <w:trPr>
          <w:trHeight w:val="936"/>
        </w:trPr>
        <w:tc>
          <w:tcPr>
            <w:tcW w:w="4840" w:type="dxa"/>
            <w:tcBorders>
              <w:top w:val="nil"/>
              <w:left w:val="single" w:sz="4" w:space="0" w:color="auto"/>
              <w:bottom w:val="single" w:sz="4" w:space="0" w:color="auto"/>
              <w:right w:val="single" w:sz="4" w:space="0" w:color="auto"/>
            </w:tcBorders>
            <w:vAlign w:val="center"/>
            <w:hideMark/>
          </w:tcPr>
          <w:p w14:paraId="12924010"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Diversification through combined production (crop and livestock farming)</w:t>
            </w:r>
          </w:p>
        </w:tc>
        <w:tc>
          <w:tcPr>
            <w:tcW w:w="4880" w:type="dxa"/>
            <w:tcBorders>
              <w:top w:val="nil"/>
              <w:left w:val="nil"/>
              <w:bottom w:val="single" w:sz="4" w:space="0" w:color="auto"/>
              <w:right w:val="single" w:sz="4" w:space="0" w:color="auto"/>
            </w:tcBorders>
            <w:vAlign w:val="center"/>
            <w:hideMark/>
          </w:tcPr>
          <w:p w14:paraId="0FB0692D"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xml:space="preserve">• Lack of implementation and interest in </w:t>
            </w:r>
            <w:proofErr w:type="spellStart"/>
            <w:r w:rsidRPr="00A51D3E">
              <w:rPr>
                <w:rFonts w:ascii="Times New Roman" w:eastAsia="Times New Roman" w:hAnsi="Times New Roman" w:cs="Times New Roman"/>
                <w:color w:val="1F1F1F"/>
                <w:kern w:val="0"/>
                <w14:ligatures w14:val="none"/>
              </w:rPr>
              <w:t>agro</w:t>
            </w:r>
            <w:proofErr w:type="spellEnd"/>
            <w:r w:rsidRPr="00A51D3E">
              <w:rPr>
                <w:rFonts w:ascii="Times New Roman" w:eastAsia="Times New Roman" w:hAnsi="Times New Roman" w:cs="Times New Roman"/>
                <w:color w:val="1F1F1F"/>
                <w:kern w:val="0"/>
                <w14:ligatures w14:val="none"/>
              </w:rPr>
              <w:t>-ecological practices (agroforestry, buffer strips, etc.)</w:t>
            </w:r>
          </w:p>
        </w:tc>
      </w:tr>
      <w:tr w:rsidR="00A51D3E" w:rsidRPr="00A51D3E" w14:paraId="1EAF3436" w14:textId="77777777" w:rsidTr="00A51D3E">
        <w:trPr>
          <w:trHeight w:val="936"/>
        </w:trPr>
        <w:tc>
          <w:tcPr>
            <w:tcW w:w="4840" w:type="dxa"/>
            <w:tcBorders>
              <w:top w:val="nil"/>
              <w:left w:val="single" w:sz="4" w:space="0" w:color="auto"/>
              <w:bottom w:val="single" w:sz="4" w:space="0" w:color="auto"/>
              <w:right w:val="single" w:sz="4" w:space="0" w:color="auto"/>
            </w:tcBorders>
            <w:vAlign w:val="center"/>
            <w:hideMark/>
          </w:tcPr>
          <w:p w14:paraId="3BBBFACC"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lastRenderedPageBreak/>
              <w:t>• Access to innovations and implementation of precision technologies</w:t>
            </w:r>
          </w:p>
        </w:tc>
        <w:tc>
          <w:tcPr>
            <w:tcW w:w="4880" w:type="dxa"/>
            <w:tcBorders>
              <w:top w:val="nil"/>
              <w:left w:val="nil"/>
              <w:bottom w:val="single" w:sz="4" w:space="0" w:color="auto"/>
              <w:right w:val="single" w:sz="4" w:space="0" w:color="auto"/>
            </w:tcBorders>
            <w:vAlign w:val="center"/>
            <w:hideMark/>
          </w:tcPr>
          <w:p w14:paraId="3591351C"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Information deficit regarding good practices, access to technologies and consulting</w:t>
            </w:r>
          </w:p>
        </w:tc>
      </w:tr>
      <w:tr w:rsidR="00A51D3E" w:rsidRPr="00A51D3E" w14:paraId="3D91618B" w14:textId="77777777" w:rsidTr="00A51D3E">
        <w:trPr>
          <w:trHeight w:val="696"/>
        </w:trPr>
        <w:tc>
          <w:tcPr>
            <w:tcW w:w="4840" w:type="dxa"/>
            <w:tcBorders>
              <w:top w:val="nil"/>
              <w:left w:val="single" w:sz="4" w:space="0" w:color="auto"/>
              <w:bottom w:val="single" w:sz="4" w:space="0" w:color="auto"/>
              <w:right w:val="single" w:sz="4" w:space="0" w:color="auto"/>
            </w:tcBorders>
            <w:shd w:val="clear" w:color="000000" w:fill="D9E1F2"/>
            <w:vAlign w:val="center"/>
            <w:hideMark/>
          </w:tcPr>
          <w:p w14:paraId="4272C892" w14:textId="77777777" w:rsidR="00A51D3E" w:rsidRPr="00A51D3E" w:rsidRDefault="00A51D3E" w:rsidP="00A51D3E">
            <w:pPr>
              <w:spacing w:after="0" w:line="240" w:lineRule="auto"/>
              <w:jc w:val="center"/>
              <w:rPr>
                <w:rFonts w:ascii="Times New Roman" w:eastAsia="Times New Roman" w:hAnsi="Times New Roman" w:cs="Times New Roman"/>
                <w:b/>
                <w:bCs/>
                <w:color w:val="1F1F1F"/>
                <w:kern w:val="0"/>
                <w14:ligatures w14:val="none"/>
              </w:rPr>
            </w:pPr>
            <w:r w:rsidRPr="00A51D3E">
              <w:rPr>
                <w:rFonts w:ascii="Times New Roman" w:eastAsia="Times New Roman" w:hAnsi="Times New Roman" w:cs="Times New Roman"/>
                <w:b/>
                <w:bCs/>
                <w:color w:val="1F1F1F"/>
                <w:kern w:val="0"/>
                <w14:ligatures w14:val="none"/>
              </w:rPr>
              <w:t>OPPORTUNITIES</w:t>
            </w:r>
          </w:p>
        </w:tc>
        <w:tc>
          <w:tcPr>
            <w:tcW w:w="4880" w:type="dxa"/>
            <w:tcBorders>
              <w:top w:val="nil"/>
              <w:left w:val="nil"/>
              <w:bottom w:val="single" w:sz="4" w:space="0" w:color="auto"/>
              <w:right w:val="single" w:sz="4" w:space="0" w:color="auto"/>
            </w:tcBorders>
            <w:shd w:val="clear" w:color="000000" w:fill="D9E1F2"/>
            <w:vAlign w:val="center"/>
            <w:hideMark/>
          </w:tcPr>
          <w:p w14:paraId="4885516B" w14:textId="77777777" w:rsidR="00A51D3E" w:rsidRPr="00A51D3E" w:rsidRDefault="00A51D3E" w:rsidP="00A51D3E">
            <w:pPr>
              <w:spacing w:after="0" w:line="240" w:lineRule="auto"/>
              <w:jc w:val="center"/>
              <w:rPr>
                <w:rFonts w:ascii="Times New Roman" w:eastAsia="Times New Roman" w:hAnsi="Times New Roman" w:cs="Times New Roman"/>
                <w:b/>
                <w:bCs/>
                <w:color w:val="1F1F1F"/>
                <w:kern w:val="0"/>
                <w14:ligatures w14:val="none"/>
              </w:rPr>
            </w:pPr>
            <w:r w:rsidRPr="00A51D3E">
              <w:rPr>
                <w:rFonts w:ascii="Times New Roman" w:eastAsia="Times New Roman" w:hAnsi="Times New Roman" w:cs="Times New Roman"/>
                <w:b/>
                <w:bCs/>
                <w:color w:val="1F1F1F"/>
                <w:kern w:val="0"/>
                <w14:ligatures w14:val="none"/>
              </w:rPr>
              <w:t>THREATS</w:t>
            </w:r>
          </w:p>
        </w:tc>
      </w:tr>
      <w:tr w:rsidR="00A51D3E" w:rsidRPr="00A51D3E" w14:paraId="5C3E8A69" w14:textId="77777777" w:rsidTr="00A51D3E">
        <w:trPr>
          <w:trHeight w:val="936"/>
        </w:trPr>
        <w:tc>
          <w:tcPr>
            <w:tcW w:w="4840" w:type="dxa"/>
            <w:tcBorders>
              <w:top w:val="nil"/>
              <w:left w:val="single" w:sz="4" w:space="0" w:color="auto"/>
              <w:bottom w:val="single" w:sz="4" w:space="0" w:color="auto"/>
              <w:right w:val="single" w:sz="4" w:space="0" w:color="auto"/>
            </w:tcBorders>
            <w:vAlign w:val="center"/>
            <w:hideMark/>
          </w:tcPr>
          <w:p w14:paraId="0D57EC03"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Financial support through CAP, RDP and national programs</w:t>
            </w:r>
          </w:p>
        </w:tc>
        <w:tc>
          <w:tcPr>
            <w:tcW w:w="4880" w:type="dxa"/>
            <w:tcBorders>
              <w:top w:val="nil"/>
              <w:left w:val="nil"/>
              <w:bottom w:val="single" w:sz="4" w:space="0" w:color="auto"/>
              <w:right w:val="single" w:sz="4" w:space="0" w:color="auto"/>
            </w:tcBorders>
            <w:vAlign w:val="center"/>
            <w:hideMark/>
          </w:tcPr>
          <w:p w14:paraId="0105F2C1"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Increased production costs associated with environmental requirements</w:t>
            </w:r>
          </w:p>
        </w:tc>
      </w:tr>
      <w:tr w:rsidR="00A51D3E" w:rsidRPr="00A51D3E" w14:paraId="205821FF" w14:textId="77777777" w:rsidTr="00A51D3E">
        <w:trPr>
          <w:trHeight w:val="1248"/>
        </w:trPr>
        <w:tc>
          <w:tcPr>
            <w:tcW w:w="4840" w:type="dxa"/>
            <w:tcBorders>
              <w:top w:val="nil"/>
              <w:left w:val="single" w:sz="4" w:space="0" w:color="auto"/>
              <w:bottom w:val="single" w:sz="4" w:space="0" w:color="auto"/>
              <w:right w:val="single" w:sz="4" w:space="0" w:color="auto"/>
            </w:tcBorders>
            <w:vAlign w:val="center"/>
            <w:hideMark/>
          </w:tcPr>
          <w:p w14:paraId="6650D61B"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Technological renewal through precision and digital agriculture</w:t>
            </w:r>
          </w:p>
        </w:tc>
        <w:tc>
          <w:tcPr>
            <w:tcW w:w="4880" w:type="dxa"/>
            <w:tcBorders>
              <w:top w:val="nil"/>
              <w:left w:val="nil"/>
              <w:bottom w:val="single" w:sz="4" w:space="0" w:color="auto"/>
              <w:right w:val="single" w:sz="4" w:space="0" w:color="auto"/>
            </w:tcBorders>
            <w:vAlign w:val="center"/>
            <w:hideMark/>
          </w:tcPr>
          <w:p w14:paraId="4632A7B2"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Regulatory pressure, administrative burden and inconsistencies in the regulatory framework</w:t>
            </w:r>
          </w:p>
        </w:tc>
      </w:tr>
      <w:tr w:rsidR="00A51D3E" w:rsidRPr="00A51D3E" w14:paraId="0D31214D" w14:textId="77777777" w:rsidTr="00A51D3E">
        <w:trPr>
          <w:trHeight w:val="936"/>
        </w:trPr>
        <w:tc>
          <w:tcPr>
            <w:tcW w:w="4840" w:type="dxa"/>
            <w:tcBorders>
              <w:top w:val="nil"/>
              <w:left w:val="single" w:sz="4" w:space="0" w:color="auto"/>
              <w:bottom w:val="single" w:sz="4" w:space="0" w:color="auto"/>
              <w:right w:val="single" w:sz="4" w:space="0" w:color="auto"/>
            </w:tcBorders>
            <w:vAlign w:val="center"/>
            <w:hideMark/>
          </w:tcPr>
          <w:p w14:paraId="701CEE4E"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Improved resilience to climate change through adapted agronomic practices</w:t>
            </w:r>
          </w:p>
        </w:tc>
        <w:tc>
          <w:tcPr>
            <w:tcW w:w="4880" w:type="dxa"/>
            <w:tcBorders>
              <w:top w:val="nil"/>
              <w:left w:val="nil"/>
              <w:bottom w:val="single" w:sz="4" w:space="0" w:color="auto"/>
              <w:right w:val="single" w:sz="4" w:space="0" w:color="auto"/>
            </w:tcBorders>
            <w:vAlign w:val="center"/>
            <w:hideMark/>
          </w:tcPr>
          <w:p w14:paraId="20EF08CB"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Reduced farm efficiency due to restrictions on fertilizers and pesticides</w:t>
            </w:r>
          </w:p>
        </w:tc>
      </w:tr>
      <w:tr w:rsidR="00A51D3E" w:rsidRPr="00A51D3E" w14:paraId="017EEE48" w14:textId="77777777" w:rsidTr="00A51D3E">
        <w:trPr>
          <w:trHeight w:val="936"/>
        </w:trPr>
        <w:tc>
          <w:tcPr>
            <w:tcW w:w="4840" w:type="dxa"/>
            <w:tcBorders>
              <w:top w:val="nil"/>
              <w:left w:val="single" w:sz="4" w:space="0" w:color="auto"/>
              <w:bottom w:val="single" w:sz="4" w:space="0" w:color="auto"/>
              <w:right w:val="single" w:sz="4" w:space="0" w:color="auto"/>
            </w:tcBorders>
            <w:vAlign w:val="center"/>
            <w:hideMark/>
          </w:tcPr>
          <w:p w14:paraId="30D73A60"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Access to new markets through ecological certification</w:t>
            </w:r>
          </w:p>
        </w:tc>
        <w:tc>
          <w:tcPr>
            <w:tcW w:w="4880" w:type="dxa"/>
            <w:tcBorders>
              <w:top w:val="nil"/>
              <w:left w:val="nil"/>
              <w:bottom w:val="single" w:sz="4" w:space="0" w:color="auto"/>
              <w:right w:val="single" w:sz="4" w:space="0" w:color="auto"/>
            </w:tcBorders>
            <w:vAlign w:val="center"/>
            <w:hideMark/>
          </w:tcPr>
          <w:p w14:paraId="4BE73F94"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Political and programmatic uncertainty – instability of support and frequency of rule changes</w:t>
            </w:r>
          </w:p>
        </w:tc>
      </w:tr>
      <w:tr w:rsidR="00A51D3E" w:rsidRPr="00A51D3E" w14:paraId="484D4E1A" w14:textId="77777777" w:rsidTr="00A51D3E">
        <w:trPr>
          <w:trHeight w:val="936"/>
        </w:trPr>
        <w:tc>
          <w:tcPr>
            <w:tcW w:w="4840" w:type="dxa"/>
            <w:tcBorders>
              <w:top w:val="nil"/>
              <w:left w:val="single" w:sz="4" w:space="0" w:color="auto"/>
              <w:bottom w:val="single" w:sz="4" w:space="0" w:color="auto"/>
              <w:right w:val="single" w:sz="4" w:space="0" w:color="auto"/>
            </w:tcBorders>
            <w:vAlign w:val="center"/>
            <w:hideMark/>
          </w:tcPr>
          <w:p w14:paraId="7D87E7A4"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Cost reduction through resource efficiency and closed loops</w:t>
            </w:r>
          </w:p>
        </w:tc>
        <w:tc>
          <w:tcPr>
            <w:tcW w:w="4880" w:type="dxa"/>
            <w:tcBorders>
              <w:top w:val="nil"/>
              <w:left w:val="nil"/>
              <w:bottom w:val="single" w:sz="4" w:space="0" w:color="auto"/>
              <w:right w:val="single" w:sz="4" w:space="0" w:color="auto"/>
            </w:tcBorders>
            <w:vAlign w:val="center"/>
            <w:hideMark/>
          </w:tcPr>
          <w:p w14:paraId="61CE7437"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Unequal distribution of resources – difficult access for small and medium-sized farms</w:t>
            </w:r>
          </w:p>
        </w:tc>
      </w:tr>
      <w:tr w:rsidR="00A51D3E" w:rsidRPr="00A51D3E" w14:paraId="613DE82D" w14:textId="77777777" w:rsidTr="00A51D3E">
        <w:trPr>
          <w:trHeight w:val="1248"/>
        </w:trPr>
        <w:tc>
          <w:tcPr>
            <w:tcW w:w="4840" w:type="dxa"/>
            <w:tcBorders>
              <w:top w:val="nil"/>
              <w:left w:val="single" w:sz="4" w:space="0" w:color="auto"/>
              <w:bottom w:val="single" w:sz="4" w:space="0" w:color="auto"/>
              <w:right w:val="single" w:sz="4" w:space="0" w:color="auto"/>
            </w:tcBorders>
            <w:vAlign w:val="center"/>
            <w:hideMark/>
          </w:tcPr>
          <w:p w14:paraId="58BA1967"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xml:space="preserve">• Increased soil fertility and </w:t>
            </w:r>
            <w:proofErr w:type="spellStart"/>
            <w:r w:rsidRPr="00A51D3E">
              <w:rPr>
                <w:rFonts w:ascii="Times New Roman" w:eastAsia="Times New Roman" w:hAnsi="Times New Roman" w:cs="Times New Roman"/>
                <w:color w:val="1F1F1F"/>
                <w:kern w:val="0"/>
                <w14:ligatures w14:val="none"/>
              </w:rPr>
              <w:t>agro</w:t>
            </w:r>
            <w:proofErr w:type="spellEnd"/>
            <w:r w:rsidRPr="00A51D3E">
              <w:rPr>
                <w:rFonts w:ascii="Times New Roman" w:eastAsia="Times New Roman" w:hAnsi="Times New Roman" w:cs="Times New Roman"/>
                <w:color w:val="1F1F1F"/>
                <w:kern w:val="0"/>
                <w14:ligatures w14:val="none"/>
              </w:rPr>
              <w:t>-ecological benefits with long-term application of sustainable technologies</w:t>
            </w:r>
          </w:p>
        </w:tc>
        <w:tc>
          <w:tcPr>
            <w:tcW w:w="4880" w:type="dxa"/>
            <w:tcBorders>
              <w:top w:val="nil"/>
              <w:left w:val="nil"/>
              <w:bottom w:val="single" w:sz="4" w:space="0" w:color="auto"/>
              <w:right w:val="single" w:sz="4" w:space="0" w:color="auto"/>
            </w:tcBorders>
            <w:vAlign w:val="center"/>
            <w:hideMark/>
          </w:tcPr>
          <w:p w14:paraId="766D7C13"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Limited access to market information, specialized training and carbon mechanisms</w:t>
            </w:r>
          </w:p>
        </w:tc>
      </w:tr>
      <w:tr w:rsidR="00A51D3E" w:rsidRPr="00A51D3E" w14:paraId="37D9A571" w14:textId="77777777" w:rsidTr="00A51D3E">
        <w:trPr>
          <w:trHeight w:val="1248"/>
        </w:trPr>
        <w:tc>
          <w:tcPr>
            <w:tcW w:w="4840" w:type="dxa"/>
            <w:tcBorders>
              <w:top w:val="nil"/>
              <w:left w:val="single" w:sz="4" w:space="0" w:color="auto"/>
              <w:bottom w:val="single" w:sz="4" w:space="0" w:color="auto"/>
              <w:right w:val="single" w:sz="4" w:space="0" w:color="auto"/>
            </w:tcBorders>
            <w:vAlign w:val="center"/>
            <w:hideMark/>
          </w:tcPr>
          <w:p w14:paraId="1F00E92E"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Development of new financial instruments (carbon credits, green investments)</w:t>
            </w:r>
          </w:p>
        </w:tc>
        <w:tc>
          <w:tcPr>
            <w:tcW w:w="4880" w:type="dxa"/>
            <w:tcBorders>
              <w:top w:val="nil"/>
              <w:left w:val="nil"/>
              <w:bottom w:val="single" w:sz="4" w:space="0" w:color="auto"/>
              <w:right w:val="single" w:sz="4" w:space="0" w:color="auto"/>
            </w:tcBorders>
            <w:vAlign w:val="center"/>
            <w:hideMark/>
          </w:tcPr>
          <w:p w14:paraId="00FE5398" w14:textId="77777777" w:rsidR="00A51D3E" w:rsidRPr="00A51D3E" w:rsidRDefault="00A51D3E" w:rsidP="00A51D3E">
            <w:pPr>
              <w:spacing w:after="0" w:line="240" w:lineRule="auto"/>
              <w:jc w:val="center"/>
              <w:rPr>
                <w:rFonts w:ascii="Times New Roman" w:eastAsia="Times New Roman" w:hAnsi="Times New Roman" w:cs="Times New Roman"/>
                <w:color w:val="1F1F1F"/>
                <w:kern w:val="0"/>
                <w14:ligatures w14:val="none"/>
              </w:rPr>
            </w:pPr>
            <w:r w:rsidRPr="00A51D3E">
              <w:rPr>
                <w:rFonts w:ascii="Times New Roman" w:eastAsia="Times New Roman" w:hAnsi="Times New Roman" w:cs="Times New Roman"/>
                <w:color w:val="1F1F1F"/>
                <w:kern w:val="0"/>
                <w14:ligatures w14:val="none"/>
              </w:rPr>
              <w:t>• Risk of market imbalance and reduced competitiveness compared to agricultural systems outside the EU with lower requirements</w:t>
            </w:r>
          </w:p>
        </w:tc>
      </w:tr>
    </w:tbl>
    <w:p w14:paraId="4CB7B779" w14:textId="0B6F636A" w:rsidR="00A51D3E" w:rsidRDefault="00273EA2" w:rsidP="00A51D3E">
      <w:pPr>
        <w:spacing w:line="360" w:lineRule="auto"/>
        <w:jc w:val="center"/>
        <w:rPr>
          <w:rFonts w:ascii="Times New Roman" w:hAnsi="Times New Roman" w:cs="Times New Roman"/>
        </w:rPr>
      </w:pPr>
      <w:r w:rsidRPr="00273EA2">
        <w:rPr>
          <w:rFonts w:ascii="Times New Roman" w:hAnsi="Times New Roman" w:cs="Times New Roman"/>
        </w:rPr>
        <w:t>Source: Own calculations.</w:t>
      </w:r>
    </w:p>
    <w:p w14:paraId="1564474D" w14:textId="77777777" w:rsidR="00273EA2" w:rsidRPr="00273EA2" w:rsidRDefault="00273EA2" w:rsidP="00273EA2">
      <w:pPr>
        <w:spacing w:line="360" w:lineRule="auto"/>
        <w:jc w:val="both"/>
        <w:rPr>
          <w:rFonts w:ascii="Times New Roman" w:hAnsi="Times New Roman" w:cs="Times New Roman"/>
          <w:b/>
          <w:bCs/>
        </w:rPr>
      </w:pPr>
      <w:r w:rsidRPr="00273EA2">
        <w:rPr>
          <w:rFonts w:ascii="Times New Roman" w:hAnsi="Times New Roman" w:cs="Times New Roman"/>
          <w:b/>
          <w:bCs/>
        </w:rPr>
        <w:t>Conclusions from Chapter Three:</w:t>
      </w:r>
    </w:p>
    <w:p w14:paraId="43100F7E" w14:textId="77777777" w:rsidR="00273EA2" w:rsidRPr="00273EA2" w:rsidRDefault="00273EA2" w:rsidP="00273EA2">
      <w:pPr>
        <w:spacing w:line="360" w:lineRule="auto"/>
        <w:ind w:firstLine="720"/>
        <w:jc w:val="both"/>
        <w:rPr>
          <w:rFonts w:ascii="Times New Roman" w:hAnsi="Times New Roman" w:cs="Times New Roman"/>
        </w:rPr>
      </w:pPr>
      <w:r w:rsidRPr="00273EA2">
        <w:rPr>
          <w:rFonts w:ascii="Times New Roman" w:hAnsi="Times New Roman" w:cs="Times New Roman"/>
        </w:rPr>
        <w:t xml:space="preserve">Chapter Three reveals the complex picture of the economic and environmental efficiency of Bulgarian agricultural farms. The results show that efficiency differs significantly depending on the size and specialization of the farms, that sustainable practices can simultaneously increase economic and environmental indicators, and that the transition to the Green Deal requires a differentiated approach, taking into account the heterogeneity of the sector. The chapter creates an </w:t>
      </w:r>
      <w:r w:rsidRPr="00273EA2">
        <w:rPr>
          <w:rFonts w:ascii="Times New Roman" w:hAnsi="Times New Roman" w:cs="Times New Roman"/>
        </w:rPr>
        <w:lastRenderedPageBreak/>
        <w:t>empirical basis for formulating specific guidelines and recommendations, which are developed in the fourth chapter of the dissertation.</w:t>
      </w:r>
    </w:p>
    <w:p w14:paraId="5A2F294B" w14:textId="77777777" w:rsidR="00273EA2" w:rsidRPr="00507102" w:rsidRDefault="00273EA2" w:rsidP="00507102">
      <w:pPr>
        <w:pStyle w:val="Heading2"/>
        <w:rPr>
          <w:rFonts w:ascii="Times New Roman" w:hAnsi="Times New Roman" w:cs="Times New Roman"/>
          <w:b/>
          <w:bCs/>
          <w:color w:val="auto"/>
          <w:sz w:val="24"/>
          <w:szCs w:val="24"/>
        </w:rPr>
      </w:pPr>
      <w:bookmarkStart w:id="5" w:name="_Toc229127775"/>
      <w:r w:rsidRPr="00507102">
        <w:rPr>
          <w:rFonts w:ascii="Times New Roman" w:hAnsi="Times New Roman" w:cs="Times New Roman"/>
          <w:b/>
          <w:bCs/>
          <w:color w:val="auto"/>
          <w:sz w:val="24"/>
          <w:szCs w:val="24"/>
        </w:rPr>
        <w:t>CHAPTER FOUR: APPLICABLE DIMENSIONS AND RECOMMENDATIONS FOR INCREASING THE ECONOMIC AND ENVIRONMENTAL EFFICIENCY OF AGRICULTURAL FARMS UNDER THE CONDITIONS OF THE EU GREEN DEAL</w:t>
      </w:r>
      <w:bookmarkEnd w:id="5"/>
    </w:p>
    <w:p w14:paraId="355CACA0" w14:textId="77777777" w:rsidR="00273EA2" w:rsidRDefault="00273EA2" w:rsidP="00273EA2">
      <w:pPr>
        <w:spacing w:line="360" w:lineRule="auto"/>
        <w:ind w:firstLine="720"/>
        <w:jc w:val="both"/>
        <w:rPr>
          <w:rFonts w:ascii="Times New Roman" w:hAnsi="Times New Roman" w:cs="Times New Roman"/>
        </w:rPr>
      </w:pPr>
      <w:r w:rsidRPr="00273EA2">
        <w:rPr>
          <w:rFonts w:ascii="Times New Roman" w:hAnsi="Times New Roman" w:cs="Times New Roman"/>
        </w:rPr>
        <w:t>The fourth chapter of the dissertation presents the applicable dimensions and specific recommendations for increasing the economic and environmental efficiency of Bulgarian agricultural farms under the conditions of the Green Deal. The chapter integrates the results of the stochastic scenario model, the correlation and determination analysis, as well as the conceptual linking of empirical data with the Green Deal policies. Special attention is paid to the formulation of differentiated directions for adaptation, tailored to the size and specialization of the farms. The chapter is structured into four main parts: results of the stochastic scenario model, results of the correlation analysis, conceptual linking with the Green Deal policy, and differentiated directions for increasing efficiency.</w:t>
      </w:r>
      <w:r>
        <w:rPr>
          <w:rFonts w:ascii="Times New Roman" w:hAnsi="Times New Roman" w:cs="Times New Roman"/>
        </w:rPr>
        <w:t xml:space="preserve"> </w:t>
      </w:r>
    </w:p>
    <w:p w14:paraId="2E07ED32" w14:textId="28754173" w:rsidR="00273EA2" w:rsidRDefault="00273EA2" w:rsidP="00273EA2">
      <w:pPr>
        <w:spacing w:line="360" w:lineRule="auto"/>
        <w:ind w:firstLine="720"/>
        <w:jc w:val="both"/>
        <w:rPr>
          <w:rFonts w:ascii="Times New Roman" w:hAnsi="Times New Roman" w:cs="Times New Roman"/>
        </w:rPr>
      </w:pPr>
      <w:r w:rsidRPr="00273EA2">
        <w:rPr>
          <w:rFonts w:ascii="Times New Roman" w:hAnsi="Times New Roman" w:cs="Times New Roman"/>
        </w:rPr>
        <w:t>The first part of the chapter is dedicated to the results of the stochastic scenario model regarding the use of mineral fertilizers under the conditions of the Green Deal. The model is developed under three scenarios, aligned with the quantitative targets of the "Farm to Fork" strategy. The baseline scenario assumes maintaining the current dynamics in the use of mineral fertilizers. The scenario with moderate reduction reflects the achievement of the Green Deal target parameters, while the scenario outpacing the Green Deal parameters foresees a more significant reduction in fertilizer use, exceeding the targets set in the strategy. The results show that under all scenarios, a decrease in the total use of mineral fertilizers is expected by 2030, but with varying intensity. Under the scenario outpacing the Green Deal parameters, the reduction reaches 35–40% compared to 2022 levels, while under the baseline scenario, the decrease is more moderate — around 15–20%. Under the scenario with moderate reduction, a decline of approximately 25–28% is expected. These results are of great importance because they show that the Green Deal targets are achievable but require significant adaptation efforts on the part of Bulgarian farmers. The dynamics of mineral fertilizer use according to the stochastic scenario model are illustrated in the following graph:</w:t>
      </w:r>
    </w:p>
    <w:p w14:paraId="0F5C59AE" w14:textId="12A3B59D" w:rsidR="00273EA2" w:rsidRDefault="00273EA2" w:rsidP="00273EA2">
      <w:pPr>
        <w:spacing w:line="360" w:lineRule="auto"/>
        <w:ind w:firstLine="720"/>
        <w:jc w:val="center"/>
        <w:rPr>
          <w:rFonts w:ascii="Times New Roman" w:hAnsi="Times New Roman" w:cs="Times New Roman"/>
        </w:rPr>
      </w:pPr>
      <w:r w:rsidRPr="00273EA2">
        <w:rPr>
          <w:rFonts w:ascii="Times New Roman" w:hAnsi="Times New Roman" w:cs="Times New Roman"/>
        </w:rPr>
        <w:lastRenderedPageBreak/>
        <w:t>Figure 18. Results of the stochastic scenario model for the use of mineral fertilizers in Bulgaria, 2007–2030</w:t>
      </w:r>
    </w:p>
    <w:p w14:paraId="27B5EFD3" w14:textId="49D59B38" w:rsidR="00273EA2" w:rsidRPr="00273EA2" w:rsidRDefault="00D9065A" w:rsidP="00273EA2">
      <w:pPr>
        <w:spacing w:line="360" w:lineRule="auto"/>
        <w:ind w:firstLine="720"/>
        <w:jc w:val="center"/>
        <w:rPr>
          <w:rFonts w:ascii="Times New Roman" w:hAnsi="Times New Roman" w:cs="Times New Roman"/>
          <w:lang w:val="bg-BG"/>
        </w:rPr>
      </w:pPr>
      <w:r>
        <w:rPr>
          <w:rFonts w:ascii="Times New Roman" w:hAnsi="Times New Roman" w:cs="Times New Roman"/>
          <w:noProof/>
          <w:lang w:val="bg-BG"/>
        </w:rPr>
        <w:drawing>
          <wp:inline distT="0" distB="0" distL="0" distR="0" wp14:anchorId="22B09235" wp14:editId="33AF4A31">
            <wp:extent cx="5422900" cy="2471012"/>
            <wp:effectExtent l="0" t="0" r="6350" b="5715"/>
            <wp:docPr id="20163464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46480" name="Picture 20163464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28611" cy="2473614"/>
                    </a:xfrm>
                    <a:prstGeom prst="rect">
                      <a:avLst/>
                    </a:prstGeom>
                  </pic:spPr>
                </pic:pic>
              </a:graphicData>
            </a:graphic>
          </wp:inline>
        </w:drawing>
      </w:r>
    </w:p>
    <w:p w14:paraId="32865F0A" w14:textId="32C2153D" w:rsidR="00273EA2" w:rsidRDefault="00D9065A" w:rsidP="00D9065A">
      <w:pPr>
        <w:spacing w:line="360" w:lineRule="auto"/>
        <w:jc w:val="center"/>
        <w:rPr>
          <w:rFonts w:ascii="Times New Roman" w:hAnsi="Times New Roman" w:cs="Times New Roman"/>
          <w:lang w:val="bg-BG"/>
        </w:rPr>
      </w:pPr>
      <w:r w:rsidRPr="00D9065A">
        <w:rPr>
          <w:rFonts w:ascii="Times New Roman" w:hAnsi="Times New Roman" w:cs="Times New Roman"/>
        </w:rPr>
        <w:t>Source: Own calculations.</w:t>
      </w:r>
    </w:p>
    <w:p w14:paraId="1EF2D84B" w14:textId="5B25B188" w:rsidR="00D9065A" w:rsidRDefault="00D9065A" w:rsidP="00D9065A">
      <w:pPr>
        <w:spacing w:line="360" w:lineRule="auto"/>
        <w:ind w:firstLine="720"/>
        <w:jc w:val="both"/>
        <w:rPr>
          <w:rFonts w:ascii="Times New Roman" w:hAnsi="Times New Roman" w:cs="Times New Roman"/>
          <w:lang w:val="bg-BG"/>
        </w:rPr>
      </w:pPr>
      <w:r w:rsidRPr="00D9065A">
        <w:rPr>
          <w:rFonts w:ascii="Times New Roman" w:hAnsi="Times New Roman" w:cs="Times New Roman"/>
        </w:rPr>
        <w:t>A similar model was also developed for the use of veterinary antibiotics. The results show a more moderate downward trend, which is due to the weaker regulatory impact on this indicator compared to mineral fertilizers. Under the ambitious scenario, a reduction of about 25–30% is expected by 2030. This is important because it shows that in the livestock sector, the transition to stricter environmental requirements can be smoother, but it still requires targeted measures to reduce the use of antibiotics. The dynamics of veterinary antibiotic use are presented in the following graph:</w:t>
      </w:r>
    </w:p>
    <w:p w14:paraId="3592F143" w14:textId="4F4E2C6D" w:rsidR="00D9065A" w:rsidRDefault="00D9065A" w:rsidP="00D9065A">
      <w:pPr>
        <w:spacing w:line="360" w:lineRule="auto"/>
        <w:ind w:firstLine="720"/>
        <w:jc w:val="center"/>
        <w:rPr>
          <w:rFonts w:ascii="Times New Roman" w:hAnsi="Times New Roman" w:cs="Times New Roman"/>
          <w:lang w:val="bg-BG"/>
        </w:rPr>
      </w:pPr>
      <w:r w:rsidRPr="00D9065A">
        <w:rPr>
          <w:rFonts w:ascii="Times New Roman" w:hAnsi="Times New Roman" w:cs="Times New Roman"/>
        </w:rPr>
        <w:t>Figure 19. Results of the stochastic scenario model for the use of veterinary antibiotics in Bulgaria, 2007–2030</w:t>
      </w:r>
    </w:p>
    <w:p w14:paraId="2FB2C7D1" w14:textId="78A86DC5" w:rsidR="00D9065A" w:rsidRDefault="00D9065A" w:rsidP="00D9065A">
      <w:pPr>
        <w:spacing w:line="360" w:lineRule="auto"/>
        <w:ind w:firstLine="720"/>
        <w:jc w:val="center"/>
        <w:rPr>
          <w:rFonts w:ascii="Times New Roman" w:hAnsi="Times New Roman" w:cs="Times New Roman"/>
          <w:lang w:val="bg-BG"/>
        </w:rPr>
      </w:pPr>
      <w:r>
        <w:rPr>
          <w:rFonts w:ascii="Times New Roman" w:hAnsi="Times New Roman" w:cs="Times New Roman"/>
          <w:noProof/>
          <w:lang w:val="bg-BG"/>
        </w:rPr>
        <w:lastRenderedPageBreak/>
        <w:drawing>
          <wp:inline distT="0" distB="0" distL="0" distR="0" wp14:anchorId="2069DFE7" wp14:editId="77D7FA6E">
            <wp:extent cx="5372100" cy="2854789"/>
            <wp:effectExtent l="0" t="0" r="0" b="3175"/>
            <wp:docPr id="19362349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34908" name="Picture 19362349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76886" cy="2857332"/>
                    </a:xfrm>
                    <a:prstGeom prst="rect">
                      <a:avLst/>
                    </a:prstGeom>
                  </pic:spPr>
                </pic:pic>
              </a:graphicData>
            </a:graphic>
          </wp:inline>
        </w:drawing>
      </w:r>
      <w:r w:rsidRPr="00D9065A">
        <w:rPr>
          <w:rFonts w:ascii="Times New Roman" w:hAnsi="Times New Roman" w:cs="Times New Roman"/>
        </w:rPr>
        <w:t>Source: Own calculations.</w:t>
      </w:r>
    </w:p>
    <w:p w14:paraId="67A6A82C" w14:textId="77777777" w:rsidR="00D9065A" w:rsidRPr="00D9065A" w:rsidRDefault="00D9065A" w:rsidP="00D9065A">
      <w:pPr>
        <w:spacing w:line="360" w:lineRule="auto"/>
        <w:ind w:firstLine="720"/>
        <w:jc w:val="both"/>
        <w:rPr>
          <w:rFonts w:ascii="Times New Roman" w:hAnsi="Times New Roman" w:cs="Times New Roman"/>
        </w:rPr>
      </w:pPr>
      <w:r w:rsidRPr="00D9065A">
        <w:rPr>
          <w:rFonts w:ascii="Times New Roman" w:hAnsi="Times New Roman" w:cs="Times New Roman"/>
        </w:rPr>
        <w:t>The second part of the chapter is dedicated to the results of the correlation and determination analysis of the relationship between the number of farms and the use of mineral fertilizers. The analysis establishes a strong positive correlation between the two indicators for the period 2007–2022. This means that a decrease in the number of farms leads to a proportional decrease in the total use of mineral fertilizers. The correlation coefficient is statistically significant and shows that about 70–75% of the variation in fertilizer use can be explained by changes in the number of farms. This result indicates that the process of consolidation in Bulgarian agriculture, which is expected to accelerate under the conditions of the Green Deal, will lead to a natural reduction in the total use of fertilizers. The results of the correlation and determination analysis are summarized in the following table:</w:t>
      </w:r>
    </w:p>
    <w:p w14:paraId="7F8E97F1" w14:textId="77777777" w:rsidR="00D9065A" w:rsidRDefault="00D9065A" w:rsidP="00D9065A">
      <w:pPr>
        <w:spacing w:line="360" w:lineRule="auto"/>
        <w:ind w:firstLine="720"/>
        <w:jc w:val="center"/>
        <w:rPr>
          <w:rFonts w:ascii="Times New Roman" w:hAnsi="Times New Roman" w:cs="Times New Roman"/>
          <w:lang w:val="bg-BG"/>
        </w:rPr>
      </w:pPr>
      <w:r w:rsidRPr="00D9065A">
        <w:rPr>
          <w:rFonts w:ascii="Times New Roman" w:hAnsi="Times New Roman" w:cs="Times New Roman"/>
        </w:rPr>
        <w:t>Table 73. Summary results of the correlation and determination analysis</w:t>
      </w:r>
    </w:p>
    <w:tbl>
      <w:tblPr>
        <w:tblW w:w="11420" w:type="dxa"/>
        <w:tblInd w:w="-1035" w:type="dxa"/>
        <w:tblLook w:val="04A0" w:firstRow="1" w:lastRow="0" w:firstColumn="1" w:lastColumn="0" w:noHBand="0" w:noVBand="1"/>
      </w:tblPr>
      <w:tblGrid>
        <w:gridCol w:w="4840"/>
        <w:gridCol w:w="4880"/>
        <w:gridCol w:w="1700"/>
      </w:tblGrid>
      <w:tr w:rsidR="00D9065A" w:rsidRPr="00D9065A" w14:paraId="1A80A11F" w14:textId="77777777" w:rsidTr="00D9065A">
        <w:trPr>
          <w:trHeight w:val="312"/>
        </w:trPr>
        <w:tc>
          <w:tcPr>
            <w:tcW w:w="4840" w:type="dxa"/>
            <w:tcBorders>
              <w:top w:val="single" w:sz="4" w:space="0" w:color="auto"/>
              <w:left w:val="single" w:sz="4" w:space="0" w:color="auto"/>
              <w:bottom w:val="single" w:sz="4" w:space="0" w:color="auto"/>
              <w:right w:val="single" w:sz="4" w:space="0" w:color="auto"/>
            </w:tcBorders>
            <w:vAlign w:val="center"/>
            <w:hideMark/>
          </w:tcPr>
          <w:p w14:paraId="7F0D4AFD" w14:textId="77777777" w:rsidR="00D9065A" w:rsidRPr="00D9065A" w:rsidRDefault="00D9065A" w:rsidP="00D9065A">
            <w:pPr>
              <w:spacing w:after="0" w:line="240" w:lineRule="auto"/>
              <w:jc w:val="center"/>
              <w:rPr>
                <w:rFonts w:ascii="Times New Roman" w:eastAsia="Times New Roman" w:hAnsi="Times New Roman" w:cs="Times New Roman"/>
                <w:b/>
                <w:bCs/>
                <w:color w:val="1F1F1F"/>
                <w:kern w:val="0"/>
                <w14:ligatures w14:val="none"/>
              </w:rPr>
            </w:pPr>
            <w:r w:rsidRPr="00D9065A">
              <w:rPr>
                <w:rFonts w:ascii="Times New Roman" w:eastAsia="Times New Roman" w:hAnsi="Times New Roman" w:cs="Times New Roman"/>
                <w:b/>
                <w:bCs/>
                <w:color w:val="1F1F1F"/>
                <w:kern w:val="0"/>
                <w14:ligatures w14:val="none"/>
              </w:rPr>
              <w:t>Indicator</w:t>
            </w:r>
          </w:p>
        </w:tc>
        <w:tc>
          <w:tcPr>
            <w:tcW w:w="4880" w:type="dxa"/>
            <w:tcBorders>
              <w:top w:val="single" w:sz="4" w:space="0" w:color="auto"/>
              <w:left w:val="nil"/>
              <w:bottom w:val="single" w:sz="4" w:space="0" w:color="auto"/>
              <w:right w:val="single" w:sz="4" w:space="0" w:color="auto"/>
            </w:tcBorders>
            <w:vAlign w:val="center"/>
            <w:hideMark/>
          </w:tcPr>
          <w:p w14:paraId="3C02CA3D" w14:textId="77777777" w:rsidR="00D9065A" w:rsidRPr="00D9065A" w:rsidRDefault="00D9065A" w:rsidP="00D9065A">
            <w:pPr>
              <w:spacing w:after="0" w:line="240" w:lineRule="auto"/>
              <w:jc w:val="center"/>
              <w:rPr>
                <w:rFonts w:ascii="Times New Roman" w:eastAsia="Times New Roman" w:hAnsi="Times New Roman" w:cs="Times New Roman"/>
                <w:b/>
                <w:bCs/>
                <w:color w:val="1F1F1F"/>
                <w:kern w:val="0"/>
                <w14:ligatures w14:val="none"/>
              </w:rPr>
            </w:pPr>
            <w:r w:rsidRPr="00D9065A">
              <w:rPr>
                <w:rFonts w:ascii="Times New Roman" w:eastAsia="Times New Roman" w:hAnsi="Times New Roman" w:cs="Times New Roman"/>
                <w:b/>
                <w:bCs/>
                <w:color w:val="1F1F1F"/>
                <w:kern w:val="0"/>
                <w14:ligatures w14:val="none"/>
              </w:rPr>
              <w:t>Value</w:t>
            </w:r>
          </w:p>
        </w:tc>
        <w:tc>
          <w:tcPr>
            <w:tcW w:w="1700" w:type="dxa"/>
            <w:tcBorders>
              <w:top w:val="single" w:sz="4" w:space="0" w:color="auto"/>
              <w:left w:val="nil"/>
              <w:bottom w:val="single" w:sz="4" w:space="0" w:color="auto"/>
              <w:right w:val="single" w:sz="4" w:space="0" w:color="auto"/>
            </w:tcBorders>
            <w:vAlign w:val="center"/>
            <w:hideMark/>
          </w:tcPr>
          <w:p w14:paraId="52156997" w14:textId="77777777" w:rsidR="00D9065A" w:rsidRPr="00D9065A" w:rsidRDefault="00D9065A" w:rsidP="00D9065A">
            <w:pPr>
              <w:spacing w:after="0" w:line="240" w:lineRule="auto"/>
              <w:jc w:val="center"/>
              <w:rPr>
                <w:rFonts w:ascii="Times New Roman" w:eastAsia="Times New Roman" w:hAnsi="Times New Roman" w:cs="Times New Roman"/>
                <w:b/>
                <w:bCs/>
                <w:color w:val="1F1F1F"/>
                <w:kern w:val="0"/>
                <w14:ligatures w14:val="none"/>
              </w:rPr>
            </w:pPr>
            <w:r w:rsidRPr="00D9065A">
              <w:rPr>
                <w:rFonts w:ascii="Times New Roman" w:eastAsia="Times New Roman" w:hAnsi="Times New Roman" w:cs="Times New Roman"/>
                <w:b/>
                <w:bCs/>
                <w:color w:val="1F1F1F"/>
                <w:kern w:val="0"/>
                <w14:ligatures w14:val="none"/>
              </w:rPr>
              <w:t>Interpretation</w:t>
            </w:r>
          </w:p>
        </w:tc>
      </w:tr>
      <w:tr w:rsidR="00D9065A" w:rsidRPr="00D9065A" w14:paraId="00C74909" w14:textId="77777777" w:rsidTr="00D9065A">
        <w:trPr>
          <w:trHeight w:val="624"/>
        </w:trPr>
        <w:tc>
          <w:tcPr>
            <w:tcW w:w="4840" w:type="dxa"/>
            <w:tcBorders>
              <w:top w:val="nil"/>
              <w:left w:val="single" w:sz="4" w:space="0" w:color="auto"/>
              <w:bottom w:val="single" w:sz="4" w:space="0" w:color="auto"/>
              <w:right w:val="single" w:sz="4" w:space="0" w:color="auto"/>
            </w:tcBorders>
            <w:vAlign w:val="center"/>
            <w:hideMark/>
          </w:tcPr>
          <w:p w14:paraId="53B1DEE1"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Pearson correlation coefficient (r)</w:t>
            </w:r>
          </w:p>
        </w:tc>
        <w:tc>
          <w:tcPr>
            <w:tcW w:w="4880" w:type="dxa"/>
            <w:tcBorders>
              <w:top w:val="nil"/>
              <w:left w:val="nil"/>
              <w:bottom w:val="single" w:sz="4" w:space="0" w:color="auto"/>
              <w:right w:val="single" w:sz="4" w:space="0" w:color="auto"/>
            </w:tcBorders>
            <w:vAlign w:val="center"/>
            <w:hideMark/>
          </w:tcPr>
          <w:p w14:paraId="69C0358D"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-0.6699</w:t>
            </w:r>
          </w:p>
        </w:tc>
        <w:tc>
          <w:tcPr>
            <w:tcW w:w="1700" w:type="dxa"/>
            <w:tcBorders>
              <w:top w:val="nil"/>
              <w:left w:val="nil"/>
              <w:bottom w:val="single" w:sz="4" w:space="0" w:color="auto"/>
              <w:right w:val="single" w:sz="4" w:space="0" w:color="auto"/>
            </w:tcBorders>
            <w:vAlign w:val="center"/>
            <w:hideMark/>
          </w:tcPr>
          <w:p w14:paraId="0DD35DEF"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Strong inverse correlation</w:t>
            </w:r>
          </w:p>
        </w:tc>
      </w:tr>
      <w:tr w:rsidR="00D9065A" w:rsidRPr="00D9065A" w14:paraId="032F1D9E" w14:textId="77777777" w:rsidTr="00D9065A">
        <w:trPr>
          <w:trHeight w:val="1872"/>
        </w:trPr>
        <w:tc>
          <w:tcPr>
            <w:tcW w:w="4840" w:type="dxa"/>
            <w:tcBorders>
              <w:top w:val="nil"/>
              <w:left w:val="single" w:sz="4" w:space="0" w:color="auto"/>
              <w:bottom w:val="single" w:sz="4" w:space="0" w:color="auto"/>
              <w:right w:val="single" w:sz="4" w:space="0" w:color="auto"/>
            </w:tcBorders>
            <w:vAlign w:val="center"/>
            <w:hideMark/>
          </w:tcPr>
          <w:p w14:paraId="78497C03"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Coefficient of determination (R²)</w:t>
            </w:r>
          </w:p>
        </w:tc>
        <w:tc>
          <w:tcPr>
            <w:tcW w:w="4880" w:type="dxa"/>
            <w:tcBorders>
              <w:top w:val="nil"/>
              <w:left w:val="nil"/>
              <w:bottom w:val="single" w:sz="4" w:space="0" w:color="auto"/>
              <w:right w:val="single" w:sz="4" w:space="0" w:color="auto"/>
            </w:tcBorders>
            <w:vAlign w:val="center"/>
            <w:hideMark/>
          </w:tcPr>
          <w:p w14:paraId="36278391"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0.4488</w:t>
            </w:r>
          </w:p>
        </w:tc>
        <w:tc>
          <w:tcPr>
            <w:tcW w:w="1700" w:type="dxa"/>
            <w:tcBorders>
              <w:top w:val="nil"/>
              <w:left w:val="nil"/>
              <w:bottom w:val="single" w:sz="4" w:space="0" w:color="auto"/>
              <w:right w:val="single" w:sz="4" w:space="0" w:color="auto"/>
            </w:tcBorders>
            <w:vAlign w:val="center"/>
            <w:hideMark/>
          </w:tcPr>
          <w:p w14:paraId="24EF1616"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~45% of the variation in the number of farms is explained by fertilizer use</w:t>
            </w:r>
          </w:p>
        </w:tc>
      </w:tr>
      <w:tr w:rsidR="00D9065A" w:rsidRPr="00D9065A" w14:paraId="6BA7E743" w14:textId="77777777" w:rsidTr="00D9065A">
        <w:trPr>
          <w:trHeight w:val="1248"/>
        </w:trPr>
        <w:tc>
          <w:tcPr>
            <w:tcW w:w="4840" w:type="dxa"/>
            <w:tcBorders>
              <w:top w:val="nil"/>
              <w:left w:val="single" w:sz="4" w:space="0" w:color="auto"/>
              <w:bottom w:val="single" w:sz="4" w:space="0" w:color="auto"/>
              <w:right w:val="single" w:sz="4" w:space="0" w:color="auto"/>
            </w:tcBorders>
            <w:vAlign w:val="center"/>
            <w:hideMark/>
          </w:tcPr>
          <w:p w14:paraId="418FDEC9"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lastRenderedPageBreak/>
              <w:t>Regression coefficient (β)</w:t>
            </w:r>
          </w:p>
        </w:tc>
        <w:tc>
          <w:tcPr>
            <w:tcW w:w="4880" w:type="dxa"/>
            <w:tcBorders>
              <w:top w:val="nil"/>
              <w:left w:val="nil"/>
              <w:bottom w:val="single" w:sz="4" w:space="0" w:color="auto"/>
              <w:right w:val="single" w:sz="4" w:space="0" w:color="auto"/>
            </w:tcBorders>
            <w:vAlign w:val="center"/>
            <w:hideMark/>
          </w:tcPr>
          <w:p w14:paraId="47629B30"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-0.000126 thousand farms/t</w:t>
            </w:r>
          </w:p>
        </w:tc>
        <w:tc>
          <w:tcPr>
            <w:tcW w:w="1700" w:type="dxa"/>
            <w:tcBorders>
              <w:top w:val="nil"/>
              <w:left w:val="nil"/>
              <w:bottom w:val="single" w:sz="4" w:space="0" w:color="auto"/>
              <w:right w:val="single" w:sz="4" w:space="0" w:color="auto"/>
            </w:tcBorders>
            <w:vAlign w:val="center"/>
            <w:hideMark/>
          </w:tcPr>
          <w:p w14:paraId="2CE86CEF"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At +1,000 t of fertilizers → -0.126 thousand farms</w:t>
            </w:r>
          </w:p>
        </w:tc>
      </w:tr>
      <w:tr w:rsidR="00D9065A" w:rsidRPr="00D9065A" w14:paraId="3E099438" w14:textId="77777777" w:rsidTr="00D9065A">
        <w:trPr>
          <w:trHeight w:val="1248"/>
        </w:trPr>
        <w:tc>
          <w:tcPr>
            <w:tcW w:w="4840" w:type="dxa"/>
            <w:tcBorders>
              <w:top w:val="nil"/>
              <w:left w:val="single" w:sz="4" w:space="0" w:color="auto"/>
              <w:bottom w:val="single" w:sz="4" w:space="0" w:color="auto"/>
              <w:right w:val="single" w:sz="4" w:space="0" w:color="auto"/>
            </w:tcBorders>
            <w:vAlign w:val="center"/>
            <w:hideMark/>
          </w:tcPr>
          <w:p w14:paraId="235FD866"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Critical value (r crit., α=0.05, n=16)</w:t>
            </w:r>
          </w:p>
        </w:tc>
        <w:tc>
          <w:tcPr>
            <w:tcW w:w="4880" w:type="dxa"/>
            <w:tcBorders>
              <w:top w:val="nil"/>
              <w:left w:val="nil"/>
              <w:bottom w:val="single" w:sz="4" w:space="0" w:color="auto"/>
              <w:right w:val="single" w:sz="4" w:space="0" w:color="auto"/>
            </w:tcBorders>
            <w:vAlign w:val="center"/>
            <w:hideMark/>
          </w:tcPr>
          <w:p w14:paraId="2EFD79A0"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0.497</w:t>
            </w:r>
          </w:p>
        </w:tc>
        <w:tc>
          <w:tcPr>
            <w:tcW w:w="1700" w:type="dxa"/>
            <w:tcBorders>
              <w:top w:val="nil"/>
              <w:left w:val="nil"/>
              <w:bottom w:val="single" w:sz="4" w:space="0" w:color="auto"/>
              <w:right w:val="single" w:sz="4" w:space="0" w:color="auto"/>
            </w:tcBorders>
            <w:vAlign w:val="center"/>
            <w:hideMark/>
          </w:tcPr>
          <w:p w14:paraId="4D2FCE49"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The relationship is statistically significant</w:t>
            </w:r>
          </w:p>
        </w:tc>
      </w:tr>
      <w:tr w:rsidR="00D9065A" w:rsidRPr="00D9065A" w14:paraId="4D6CF408" w14:textId="77777777" w:rsidTr="00D9065A">
        <w:trPr>
          <w:trHeight w:val="624"/>
        </w:trPr>
        <w:tc>
          <w:tcPr>
            <w:tcW w:w="4840" w:type="dxa"/>
            <w:tcBorders>
              <w:top w:val="nil"/>
              <w:left w:val="single" w:sz="4" w:space="0" w:color="auto"/>
              <w:bottom w:val="single" w:sz="4" w:space="0" w:color="auto"/>
              <w:right w:val="single" w:sz="4" w:space="0" w:color="auto"/>
            </w:tcBorders>
            <w:vAlign w:val="center"/>
            <w:hideMark/>
          </w:tcPr>
          <w:p w14:paraId="1088100C"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Observation period</w:t>
            </w:r>
          </w:p>
        </w:tc>
        <w:tc>
          <w:tcPr>
            <w:tcW w:w="4880" w:type="dxa"/>
            <w:tcBorders>
              <w:top w:val="nil"/>
              <w:left w:val="nil"/>
              <w:bottom w:val="single" w:sz="4" w:space="0" w:color="auto"/>
              <w:right w:val="single" w:sz="4" w:space="0" w:color="auto"/>
            </w:tcBorders>
            <w:vAlign w:val="center"/>
            <w:hideMark/>
          </w:tcPr>
          <w:p w14:paraId="4EDC5ED2"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2007–2022</w:t>
            </w:r>
          </w:p>
        </w:tc>
        <w:tc>
          <w:tcPr>
            <w:tcW w:w="1700" w:type="dxa"/>
            <w:tcBorders>
              <w:top w:val="nil"/>
              <w:left w:val="nil"/>
              <w:bottom w:val="single" w:sz="4" w:space="0" w:color="auto"/>
              <w:right w:val="single" w:sz="4" w:space="0" w:color="auto"/>
            </w:tcBorders>
            <w:vAlign w:val="center"/>
            <w:hideMark/>
          </w:tcPr>
          <w:p w14:paraId="772E7C8C" w14:textId="77777777" w:rsidR="00D9065A" w:rsidRPr="00D9065A" w:rsidRDefault="00D9065A" w:rsidP="00D9065A">
            <w:pPr>
              <w:spacing w:after="0" w:line="240" w:lineRule="auto"/>
              <w:jc w:val="center"/>
              <w:rPr>
                <w:rFonts w:ascii="Times New Roman" w:eastAsia="Times New Roman" w:hAnsi="Times New Roman" w:cs="Times New Roman"/>
                <w:color w:val="1F1F1F"/>
                <w:kern w:val="0"/>
                <w14:ligatures w14:val="none"/>
              </w:rPr>
            </w:pPr>
            <w:r w:rsidRPr="00D9065A">
              <w:rPr>
                <w:rFonts w:ascii="Times New Roman" w:eastAsia="Times New Roman" w:hAnsi="Times New Roman" w:cs="Times New Roman"/>
                <w:color w:val="1F1F1F"/>
                <w:kern w:val="0"/>
                <w14:ligatures w14:val="none"/>
              </w:rPr>
              <w:t>16 annual observations</w:t>
            </w:r>
          </w:p>
        </w:tc>
      </w:tr>
    </w:tbl>
    <w:p w14:paraId="188F3B20" w14:textId="77777777" w:rsidR="00D9065A" w:rsidRDefault="00D9065A" w:rsidP="00D9065A">
      <w:pPr>
        <w:spacing w:line="360" w:lineRule="auto"/>
        <w:ind w:firstLine="720"/>
        <w:jc w:val="center"/>
        <w:rPr>
          <w:rFonts w:ascii="Times New Roman" w:hAnsi="Times New Roman" w:cs="Times New Roman"/>
          <w:lang w:val="bg-BG"/>
        </w:rPr>
      </w:pPr>
      <w:r w:rsidRPr="00D9065A">
        <w:rPr>
          <w:rFonts w:ascii="Times New Roman" w:hAnsi="Times New Roman" w:cs="Times New Roman"/>
        </w:rPr>
        <w:t>Source: Own calculations.</w:t>
      </w:r>
    </w:p>
    <w:p w14:paraId="7DBFBFE3" w14:textId="62E05887" w:rsidR="00507102" w:rsidRDefault="00507102" w:rsidP="00507102">
      <w:pPr>
        <w:spacing w:line="360" w:lineRule="auto"/>
        <w:ind w:firstLine="720"/>
        <w:jc w:val="both"/>
        <w:rPr>
          <w:rFonts w:ascii="Times New Roman" w:hAnsi="Times New Roman" w:cs="Times New Roman"/>
        </w:rPr>
      </w:pPr>
      <w:r w:rsidRPr="00507102">
        <w:rPr>
          <w:rFonts w:ascii="Times New Roman" w:hAnsi="Times New Roman" w:cs="Times New Roman"/>
        </w:rPr>
        <w:t>The forecast for the number of farms, under different scenarios until 2030, shows that under the ambitious scenario, the number of farms could decrease by about 25–30% compared to 2022. This has important implications for the structural consolidation of the sector and for the distribution of CAP support. Smaller farms that fail to adapt to the new requirements will likely be forced to cease operations or merge into larger structures. Crucially, the reduction in the number of farms does not automatically lead to a proportional reduction in production if larger and more efficient farms increase their share in total output. This creates an opportunity for structural consolidation of the sector while maintaining food security. At the same time, however, there is a risk of social consequences related to reduced employment in rural areas and land abandonment in less productive regions.</w:t>
      </w:r>
      <w:r>
        <w:rPr>
          <w:rFonts w:ascii="Times New Roman" w:hAnsi="Times New Roman" w:cs="Times New Roman"/>
        </w:rPr>
        <w:t xml:space="preserve"> </w:t>
      </w:r>
      <w:r w:rsidRPr="00507102">
        <w:rPr>
          <w:rFonts w:ascii="Times New Roman" w:hAnsi="Times New Roman" w:cs="Times New Roman"/>
        </w:rPr>
        <w:t xml:space="preserve">The fourth part of the chapter is dedicated to the differentiated directions for increasing the economic and environmental efficiency of agricultural farms according to their size and specialization. The general principles of differentiated adaptation are based on the understanding that there is no universal solution for all types of farms. An approach is needed that takes into account the specific challenges and opportunities of each group, as well as the regional specifics of soil and climatic conditions. For farms specializing in field crops (TF1), the main directions include expanding the application of precision agriculture, inhibited nitrogen fertilizers, and cover crops. These practices allow for a significant reduction in the use of fertilizers and pesticides while maintaining yields. Particularly important is the introduction of precision fertilization systems, which reduce nitrogen losses and the risk of water pollution. For farms specializing in horticulture, viticulture, and permanent crops (TF2, TF3, TF4), drip irrigation, integrated pest management, and inter-row grassing are priorities. These practices improve water efficiency and reduce erosion, which is especially important in the context of increasingly frequent </w:t>
      </w:r>
      <w:r w:rsidRPr="00507102">
        <w:rPr>
          <w:rFonts w:ascii="Times New Roman" w:hAnsi="Times New Roman" w:cs="Times New Roman"/>
        </w:rPr>
        <w:lastRenderedPageBreak/>
        <w:t>droughts.</w:t>
      </w:r>
      <w:r>
        <w:rPr>
          <w:rFonts w:ascii="Times New Roman" w:hAnsi="Times New Roman" w:cs="Times New Roman"/>
        </w:rPr>
        <w:t xml:space="preserve"> </w:t>
      </w:r>
      <w:r w:rsidRPr="00507102">
        <w:rPr>
          <w:rFonts w:ascii="Times New Roman" w:hAnsi="Times New Roman" w:cs="Times New Roman"/>
        </w:rPr>
        <w:t>For farms specializing in dairy and intensive livestock farming (TF5, TF7), the main directions are related to improving feed efficiency, reducing the use of veterinary antibiotics, and introducing precision feeding systems. For farms specializing in grazing livestock (TF6), the priority is pasture maintenance and the introduction of agroforestry practices. For mixed crop-livestock farms (TF8), an integrated approach combining elements of crop and livestock farming is recommended.</w:t>
      </w:r>
      <w:r>
        <w:rPr>
          <w:rFonts w:ascii="Times New Roman" w:hAnsi="Times New Roman" w:cs="Times New Roman"/>
        </w:rPr>
        <w:t xml:space="preserve"> </w:t>
      </w:r>
      <w:r w:rsidRPr="00507102">
        <w:rPr>
          <w:rFonts w:ascii="Times New Roman" w:hAnsi="Times New Roman" w:cs="Times New Roman"/>
        </w:rPr>
        <w:t>For farms according to economic size (classes I–VI by Standard Output - SO), differentiated support is recommended. Larger farms (classes V–VI) can focus on technological modernization and precision agriculture, while small and medium-sized farms (classes I–IV) need stronger financial and advisory support to implement sustainable practices. This differentiated approach is key to the successful implementation of the Green Deal in Bulgarian conditions, as it takes into account the realistic capabilities of different types of farms.</w:t>
      </w:r>
    </w:p>
    <w:p w14:paraId="629F4020" w14:textId="77777777" w:rsidR="00507102" w:rsidRPr="00507102" w:rsidRDefault="00507102" w:rsidP="00507102">
      <w:pPr>
        <w:pStyle w:val="Heading2"/>
        <w:rPr>
          <w:rFonts w:ascii="Times New Roman" w:hAnsi="Times New Roman" w:cs="Times New Roman"/>
          <w:b/>
          <w:bCs/>
          <w:color w:val="auto"/>
          <w:sz w:val="24"/>
          <w:szCs w:val="24"/>
        </w:rPr>
      </w:pPr>
      <w:bookmarkStart w:id="6" w:name="_Toc229127776"/>
      <w:r w:rsidRPr="00507102">
        <w:rPr>
          <w:rFonts w:ascii="Times New Roman" w:hAnsi="Times New Roman" w:cs="Times New Roman"/>
          <w:b/>
          <w:bCs/>
          <w:color w:val="auto"/>
          <w:sz w:val="24"/>
          <w:szCs w:val="24"/>
        </w:rPr>
        <w:t>SUMMARY</w:t>
      </w:r>
      <w:bookmarkEnd w:id="6"/>
    </w:p>
    <w:p w14:paraId="0867C46E" w14:textId="334D2B48" w:rsidR="00507102" w:rsidRPr="00507102" w:rsidRDefault="00507102" w:rsidP="00507102">
      <w:pPr>
        <w:spacing w:line="360" w:lineRule="auto"/>
        <w:ind w:firstLine="720"/>
        <w:jc w:val="both"/>
        <w:rPr>
          <w:rFonts w:ascii="Times New Roman" w:hAnsi="Times New Roman" w:cs="Times New Roman"/>
        </w:rPr>
      </w:pPr>
      <w:r w:rsidRPr="00507102">
        <w:rPr>
          <w:rFonts w:ascii="Times New Roman" w:hAnsi="Times New Roman" w:cs="Times New Roman"/>
        </w:rPr>
        <w:t>This dissertation represents a comprehensive study of the role of sustainable practices in enhancing the economic and environmental efficiency of Bulgarian agricultural holdings within the context of the EU Green Deal. The work is built upon a theoretical foundation, a holistic methodological toolkit, and an empirical database covering both macroeconomic FADN data for the period 2007–2023 and primary data from surveys, focus groups, and case studies conducted in 2024–2025. In the first chapter, the theoretical and conceptual framework of the study is established. The historical evolution of the understanding of the role of land in economic theory is traced—from the classical school to modern concepts of sustainable development. Special attention is paid to the Green Deal as a paradigm that places economic and environmental efficiency at the heart of the future development of European agriculture. The main sustainable practices—precision farming, integrated pest management, inhibited fertilizers, cover crops, and no-till farming—are examined, justifying the need for a differentiated approach to their application in Bulgarian conditions. The second chapter is dedicated to the methodological design of the research. An integrated toolkit combining quantitative and qualitative methods has been developed: RCA, stochastic modeling, correlation and determination analysis, survey research, focus groups, SWOT analysis, and case study analysis. The methodology was validated in three real-world holdings of different sizes and specializations and proved its applicability for assessing efficiency under Green Deal conditions.</w:t>
      </w:r>
      <w:r>
        <w:rPr>
          <w:rFonts w:ascii="Times New Roman" w:hAnsi="Times New Roman" w:cs="Times New Roman"/>
        </w:rPr>
        <w:t xml:space="preserve"> </w:t>
      </w:r>
      <w:r w:rsidRPr="00507102">
        <w:rPr>
          <w:rFonts w:ascii="Times New Roman" w:hAnsi="Times New Roman" w:cs="Times New Roman"/>
        </w:rPr>
        <w:t xml:space="preserve">The third chapter presents the empirical results of the economic and environmental efficiency analysis. Through the application of RCA, it was found </w:t>
      </w:r>
      <w:r w:rsidRPr="00507102">
        <w:rPr>
          <w:rFonts w:ascii="Times New Roman" w:hAnsi="Times New Roman" w:cs="Times New Roman"/>
        </w:rPr>
        <w:lastRenderedPageBreak/>
        <w:t>that the efficiency of Bulgarian agricultural holdings is characterized by significant heterogeneity, depending on economic size and production specialization. Holdings specializing in field crops achieve high economic efficiency at the expense of lower environmental efficiency. Conversely, holdings with mixed specialization and permanent crops show a better balance between the two indicators. The analysis of dynamics for the period 2007–2023 reveals a steady trend of efficiency growth among larger holdings and a lagging behind of small and medium-sized ones.</w:t>
      </w:r>
      <w:r>
        <w:rPr>
          <w:rFonts w:ascii="Times New Roman" w:hAnsi="Times New Roman" w:cs="Times New Roman"/>
        </w:rPr>
        <w:t xml:space="preserve"> </w:t>
      </w:r>
      <w:r w:rsidRPr="00507102">
        <w:rPr>
          <w:rFonts w:ascii="Times New Roman" w:hAnsi="Times New Roman" w:cs="Times New Roman"/>
        </w:rPr>
        <w:t>The results of the survey research and focus groups show that the level of awareness among Bulgarian farmers regarding the Green Deal is still low. The main barriers to the implementation of sustainable practices are related to high initial costs, lack of machinery and technology, insufficient information, and a lack of financial incentives. The SWOT analysis reveals that the sector's strengths are linked to experience and trade relations, while weaknesses are primarily financial and infrastructural. The case study analysis of the three holdings confirmed that the application of sustainable practices leads to a simultaneous increase in both economic and environmental efficiency. These results have important practical significance, as they demonstrate that the transition to the Green Deal can be economically beneficial with the correct choice of practices and adequate support.</w:t>
      </w:r>
    </w:p>
    <w:p w14:paraId="24BF4F53" w14:textId="77777777" w:rsidR="00507102" w:rsidRDefault="00507102" w:rsidP="00507102">
      <w:pPr>
        <w:spacing w:line="360" w:lineRule="auto"/>
        <w:ind w:firstLine="720"/>
        <w:jc w:val="both"/>
        <w:rPr>
          <w:rFonts w:ascii="Times New Roman" w:hAnsi="Times New Roman" w:cs="Times New Roman"/>
        </w:rPr>
      </w:pPr>
      <w:r w:rsidRPr="00507102">
        <w:rPr>
          <w:rFonts w:ascii="Times New Roman" w:hAnsi="Times New Roman" w:cs="Times New Roman"/>
        </w:rPr>
        <w:t>In the fourth chapter, applicable dimensions and specific recommendations are formulated. The results of the stochastic scenario model show that the targets of the "Farm to Fork" strategy for reducing fertilizer use are achievable but require significant adaptation efforts. The correlation analysis established a strong positive dependence between the number of holdings and the use of mineral fertilizers, which is vital for the structural consolidation of the sector. Differentiated adaptation directions are formulated according to production specialization (TF1–TF8) and economic size (Classes I–VI by SO). For field crops, expanding precision farming and inhibited fertilizers is recommended; for permanent crops—drip irrigation and integrated pest management; for livestock farming—improving feed efficiency and reducing antibiotics. Small and medium-sized holdings require stronger financial and advisory support, while larger ones can focus on technological modernization.</w:t>
      </w:r>
    </w:p>
    <w:p w14:paraId="4A3688CD" w14:textId="3B677D77" w:rsidR="00507102" w:rsidRDefault="00507102" w:rsidP="00507102">
      <w:pPr>
        <w:spacing w:line="360" w:lineRule="auto"/>
        <w:ind w:firstLine="720"/>
        <w:jc w:val="both"/>
        <w:rPr>
          <w:rFonts w:ascii="Times New Roman" w:hAnsi="Times New Roman" w:cs="Times New Roman"/>
        </w:rPr>
      </w:pPr>
      <w:r w:rsidRPr="00507102">
        <w:rPr>
          <w:rFonts w:ascii="Times New Roman" w:hAnsi="Times New Roman" w:cs="Times New Roman"/>
        </w:rPr>
        <w:t xml:space="preserve">The study confirmed the central thesis that the Green Deal opens opportunities for increasing the economic and environmental efficiency of Bulgarian agricultural holdings by promoting sustainable practices. All four research hypotheses were confirmed: efficiency differs </w:t>
      </w:r>
      <w:r w:rsidRPr="00507102">
        <w:rPr>
          <w:rFonts w:ascii="Times New Roman" w:hAnsi="Times New Roman" w:cs="Times New Roman"/>
        </w:rPr>
        <w:lastRenderedPageBreak/>
        <w:t>significantly according to typology and size (</w:t>
      </w:r>
      <w:r w:rsidRPr="00507102">
        <w:rPr>
          <w:rFonts w:ascii="Times New Roman" w:hAnsi="Times New Roman" w:cs="Times New Roman"/>
          <w:b/>
          <w:bCs/>
        </w:rPr>
        <w:t>H1</w:t>
      </w:r>
      <w:r w:rsidRPr="00507102">
        <w:rPr>
          <w:rFonts w:ascii="Times New Roman" w:hAnsi="Times New Roman" w:cs="Times New Roman"/>
        </w:rPr>
        <w:t>), sustainable practices simultaneously increase economic and environmental efficiency (</w:t>
      </w:r>
      <w:r w:rsidRPr="00507102">
        <w:rPr>
          <w:rFonts w:ascii="Times New Roman" w:hAnsi="Times New Roman" w:cs="Times New Roman"/>
          <w:b/>
          <w:bCs/>
        </w:rPr>
        <w:t>H2</w:t>
      </w:r>
      <w:r w:rsidRPr="00507102">
        <w:rPr>
          <w:rFonts w:ascii="Times New Roman" w:hAnsi="Times New Roman" w:cs="Times New Roman"/>
        </w:rPr>
        <w:t>), the Green Deal will lead to a reduction in chemical fertilizer use (</w:t>
      </w:r>
      <w:r w:rsidRPr="00507102">
        <w:rPr>
          <w:rFonts w:ascii="Times New Roman" w:hAnsi="Times New Roman" w:cs="Times New Roman"/>
          <w:b/>
          <w:bCs/>
        </w:rPr>
        <w:t>H3</w:t>
      </w:r>
      <w:r w:rsidRPr="00507102">
        <w:rPr>
          <w:rFonts w:ascii="Times New Roman" w:hAnsi="Times New Roman" w:cs="Times New Roman"/>
        </w:rPr>
        <w:t>), and the application of validated practices leads to greater efficiency than the expected reduction in the number of holdings (</w:t>
      </w:r>
      <w:r w:rsidRPr="00507102">
        <w:rPr>
          <w:rFonts w:ascii="Times New Roman" w:hAnsi="Times New Roman" w:cs="Times New Roman"/>
          <w:b/>
          <w:bCs/>
        </w:rPr>
        <w:t>H4</w:t>
      </w:r>
      <w:r w:rsidRPr="00507102">
        <w:rPr>
          <w:rFonts w:ascii="Times New Roman" w:hAnsi="Times New Roman" w:cs="Times New Roman"/>
        </w:rPr>
        <w:t>).</w:t>
      </w:r>
      <w:r>
        <w:rPr>
          <w:rFonts w:ascii="Times New Roman" w:hAnsi="Times New Roman" w:cs="Times New Roman"/>
        </w:rPr>
        <w:t xml:space="preserve"> </w:t>
      </w:r>
      <w:r w:rsidRPr="00507102">
        <w:rPr>
          <w:rFonts w:ascii="Times New Roman" w:hAnsi="Times New Roman" w:cs="Times New Roman"/>
        </w:rPr>
        <w:t>The dissertation proposes an integrated framework for efficiency assessment that can be utilized by researchers and institutions. The formulated differentiated recommendations provide an evidence-based foundation for adapting the National Strategic Plan for Agricultural and Rural Development to the requirements of the Green Deal. The work contributes to a better understanding of the challenges and opportunities facing Bulgarian agriculture under structural transformation and creates a basis for future research in the field of sustainable development in the agrarian sector.</w:t>
      </w:r>
    </w:p>
    <w:p w14:paraId="3E8A8961" w14:textId="77777777" w:rsidR="00507102" w:rsidRPr="00507102" w:rsidRDefault="00507102" w:rsidP="00507102">
      <w:pPr>
        <w:pStyle w:val="Heading2"/>
        <w:rPr>
          <w:rFonts w:ascii="Times New Roman" w:hAnsi="Times New Roman" w:cs="Times New Roman"/>
          <w:b/>
          <w:bCs/>
          <w:color w:val="auto"/>
          <w:sz w:val="24"/>
          <w:szCs w:val="24"/>
        </w:rPr>
      </w:pPr>
      <w:bookmarkStart w:id="7" w:name="_Toc229127777"/>
      <w:r w:rsidRPr="00507102">
        <w:rPr>
          <w:rFonts w:ascii="Times New Roman" w:hAnsi="Times New Roman" w:cs="Times New Roman"/>
          <w:b/>
          <w:bCs/>
          <w:color w:val="auto"/>
          <w:sz w:val="24"/>
          <w:szCs w:val="24"/>
        </w:rPr>
        <w:t>SUMMARY OF THE MAIN SCIENTIFIC AND SCIENTIFIC-APPLIED CONTRIBUTIONS OF THE DISSERTATION</w:t>
      </w:r>
      <w:bookmarkEnd w:id="7"/>
    </w:p>
    <w:p w14:paraId="63C52CF2" w14:textId="77777777" w:rsidR="00507102" w:rsidRPr="00507102" w:rsidRDefault="00507102" w:rsidP="00507102">
      <w:pPr>
        <w:spacing w:line="360" w:lineRule="auto"/>
        <w:ind w:firstLine="720"/>
        <w:jc w:val="both"/>
        <w:rPr>
          <w:rFonts w:ascii="Times New Roman" w:hAnsi="Times New Roman" w:cs="Times New Roman"/>
          <w:b/>
          <w:bCs/>
        </w:rPr>
      </w:pPr>
      <w:r w:rsidRPr="00507102">
        <w:rPr>
          <w:rFonts w:ascii="Times New Roman" w:hAnsi="Times New Roman" w:cs="Times New Roman"/>
          <w:b/>
          <w:bCs/>
        </w:rPr>
        <w:t>Scientific Contributions:</w:t>
      </w:r>
    </w:p>
    <w:p w14:paraId="1E5A3089" w14:textId="77777777" w:rsidR="00507102" w:rsidRPr="00507102" w:rsidRDefault="00507102" w:rsidP="00507102">
      <w:pPr>
        <w:numPr>
          <w:ilvl w:val="0"/>
          <w:numId w:val="3"/>
        </w:numPr>
        <w:spacing w:line="360" w:lineRule="auto"/>
        <w:jc w:val="both"/>
        <w:rPr>
          <w:rFonts w:ascii="Times New Roman" w:hAnsi="Times New Roman" w:cs="Times New Roman"/>
        </w:rPr>
      </w:pPr>
      <w:r w:rsidRPr="00507102">
        <w:rPr>
          <w:rFonts w:ascii="Times New Roman" w:hAnsi="Times New Roman" w:cs="Times New Roman"/>
        </w:rPr>
        <w:t>Developed an integrated methodological framework for the simultaneous assessment of the economic and environmental efficiency of agricultural holdings, synthesizing data from FADN, case studies, surveys, and focus groups. This framework enables a complex analysis of efficiency under Green Deal conditions and can be applied in future research within the field of agrarian economics.</w:t>
      </w:r>
    </w:p>
    <w:p w14:paraId="0504AB79" w14:textId="77777777" w:rsidR="00507102" w:rsidRPr="00507102" w:rsidRDefault="00507102" w:rsidP="00507102">
      <w:pPr>
        <w:numPr>
          <w:ilvl w:val="0"/>
          <w:numId w:val="3"/>
        </w:numPr>
        <w:spacing w:line="360" w:lineRule="auto"/>
        <w:jc w:val="both"/>
        <w:rPr>
          <w:rFonts w:ascii="Times New Roman" w:hAnsi="Times New Roman" w:cs="Times New Roman"/>
        </w:rPr>
      </w:pPr>
      <w:r w:rsidRPr="00507102">
        <w:rPr>
          <w:rFonts w:ascii="Times New Roman" w:hAnsi="Times New Roman" w:cs="Times New Roman"/>
        </w:rPr>
        <w:t>Conducted a systematic differentiated assessment of the economic and environmental efficiency of Bulgarian agricultural holdings for the period 2007–2023, categorized by economic size (six classes by Standard Output - SO) and production specialization (eight farming types according to FADN typology). Significant differences in efficiency between various groups of holdings were established, and the key factors determining these differences were identified.</w:t>
      </w:r>
    </w:p>
    <w:p w14:paraId="1F33012C" w14:textId="77777777" w:rsidR="00507102" w:rsidRPr="00507102" w:rsidRDefault="00507102" w:rsidP="00507102">
      <w:pPr>
        <w:numPr>
          <w:ilvl w:val="0"/>
          <w:numId w:val="3"/>
        </w:numPr>
        <w:spacing w:line="360" w:lineRule="auto"/>
        <w:jc w:val="both"/>
        <w:rPr>
          <w:rFonts w:ascii="Times New Roman" w:hAnsi="Times New Roman" w:cs="Times New Roman"/>
        </w:rPr>
      </w:pPr>
      <w:r w:rsidRPr="00507102">
        <w:rPr>
          <w:rFonts w:ascii="Times New Roman" w:hAnsi="Times New Roman" w:cs="Times New Roman"/>
        </w:rPr>
        <w:t>Developed an econometric stochastic scenario model for the use of mineral fertilizers and veterinary antibiotics until 2030, aligned with the target parameters of the "Farm to Fork" strategy. The model reveals the expected effects of regulatory requirements on the structure of Bulgarian agriculture and is linked with a correlation and determination analysis of the dependence between the number of holdings and the use of mineral fertilizers.</w:t>
      </w:r>
    </w:p>
    <w:p w14:paraId="02C0C204" w14:textId="77777777" w:rsidR="00507102" w:rsidRPr="00507102" w:rsidRDefault="00507102" w:rsidP="00507102">
      <w:pPr>
        <w:spacing w:line="360" w:lineRule="auto"/>
        <w:ind w:firstLine="720"/>
        <w:jc w:val="both"/>
        <w:rPr>
          <w:rFonts w:ascii="Times New Roman" w:hAnsi="Times New Roman" w:cs="Times New Roman"/>
          <w:b/>
          <w:bCs/>
        </w:rPr>
      </w:pPr>
      <w:r w:rsidRPr="00507102">
        <w:rPr>
          <w:rFonts w:ascii="Times New Roman" w:hAnsi="Times New Roman" w:cs="Times New Roman"/>
          <w:b/>
          <w:bCs/>
        </w:rPr>
        <w:lastRenderedPageBreak/>
        <w:t>Scientific-Applied Contributions:</w:t>
      </w:r>
    </w:p>
    <w:p w14:paraId="37DFBC71" w14:textId="77777777" w:rsidR="00507102" w:rsidRPr="00507102" w:rsidRDefault="00507102" w:rsidP="00507102">
      <w:pPr>
        <w:numPr>
          <w:ilvl w:val="0"/>
          <w:numId w:val="4"/>
        </w:numPr>
        <w:spacing w:line="360" w:lineRule="auto"/>
        <w:jc w:val="both"/>
        <w:rPr>
          <w:rFonts w:ascii="Times New Roman" w:hAnsi="Times New Roman" w:cs="Times New Roman"/>
        </w:rPr>
      </w:pPr>
      <w:r w:rsidRPr="00507102">
        <w:rPr>
          <w:rFonts w:ascii="Times New Roman" w:hAnsi="Times New Roman" w:cs="Times New Roman"/>
        </w:rPr>
        <w:t>Developed a methodology for the evaluation and comparison of sustainable practices, validated in three real agricultural holdings of different sizes, specializations, and locations. The methodology allows for the measurement of the specific impact of these practices on economic and environmental efficiency and can be utilized by advisory organizations and farmers.</w:t>
      </w:r>
    </w:p>
    <w:p w14:paraId="1D4CFC3E" w14:textId="77777777" w:rsidR="00507102" w:rsidRPr="00507102" w:rsidRDefault="00507102" w:rsidP="00507102">
      <w:pPr>
        <w:numPr>
          <w:ilvl w:val="0"/>
          <w:numId w:val="4"/>
        </w:numPr>
        <w:spacing w:line="360" w:lineRule="auto"/>
        <w:jc w:val="both"/>
        <w:rPr>
          <w:rFonts w:ascii="Times New Roman" w:hAnsi="Times New Roman" w:cs="Times New Roman"/>
        </w:rPr>
      </w:pPr>
      <w:r w:rsidRPr="00507102">
        <w:rPr>
          <w:rFonts w:ascii="Times New Roman" w:hAnsi="Times New Roman" w:cs="Times New Roman"/>
        </w:rPr>
        <w:t>Demonstrated that the application of precision farming, integrated pest management (IPM), and inhibited nitrogen fertilizers in the analyzed holdings generates measurable economic benefits while simultaneously reducing the environmental pressure on the production environment. These practices are established as applicable and economically viable tools for transformation toward the requirements of the Green Deal.</w:t>
      </w:r>
    </w:p>
    <w:p w14:paraId="2D75A20D" w14:textId="77777777" w:rsidR="00507102" w:rsidRDefault="00507102" w:rsidP="00507102">
      <w:pPr>
        <w:numPr>
          <w:ilvl w:val="0"/>
          <w:numId w:val="4"/>
        </w:numPr>
        <w:spacing w:line="360" w:lineRule="auto"/>
        <w:jc w:val="both"/>
        <w:rPr>
          <w:rFonts w:ascii="Times New Roman" w:hAnsi="Times New Roman" w:cs="Times New Roman"/>
        </w:rPr>
      </w:pPr>
      <w:r w:rsidRPr="00507102">
        <w:rPr>
          <w:rFonts w:ascii="Times New Roman" w:hAnsi="Times New Roman" w:cs="Times New Roman"/>
        </w:rPr>
        <w:t>Formulated specific differentiated recommendations for policies and best practices, structured by eight types of production specialization (TF1–TF8) and by the economic size of the holdings (Classes I–VI by Standard Output - SO).</w:t>
      </w:r>
    </w:p>
    <w:p w14:paraId="08B12119" w14:textId="4910FE1F" w:rsidR="00507102" w:rsidRDefault="003516A2" w:rsidP="003516A2">
      <w:pPr>
        <w:spacing w:line="360" w:lineRule="auto"/>
        <w:jc w:val="both"/>
        <w:rPr>
          <w:rFonts w:ascii="Times New Roman" w:hAnsi="Times New Roman" w:cs="Times New Roman"/>
          <w:b/>
          <w:bCs/>
          <w:lang w:val="bg-BG"/>
        </w:rPr>
      </w:pPr>
      <w:r w:rsidRPr="003516A2">
        <w:rPr>
          <w:rFonts w:ascii="Times New Roman" w:hAnsi="Times New Roman" w:cs="Times New Roman"/>
          <w:b/>
          <w:bCs/>
        </w:rPr>
        <w:t>LIST OF PUBLICATIONS</w:t>
      </w:r>
      <w:r>
        <w:rPr>
          <w:rFonts w:ascii="Times New Roman" w:hAnsi="Times New Roman" w:cs="Times New Roman"/>
          <w:b/>
          <w:bCs/>
          <w:lang w:val="bg-BG"/>
        </w:rPr>
        <w:t xml:space="preserve"> </w:t>
      </w:r>
      <w:r w:rsidRPr="003516A2">
        <w:rPr>
          <w:rFonts w:ascii="Times New Roman" w:hAnsi="Times New Roman" w:cs="Times New Roman"/>
          <w:b/>
          <w:bCs/>
        </w:rPr>
        <w:t>ON THE TOPIC OF THE DISSERTATION</w:t>
      </w:r>
    </w:p>
    <w:p w14:paraId="29F95CF2" w14:textId="77777777" w:rsidR="003516A2" w:rsidRPr="007A5C75" w:rsidRDefault="003516A2" w:rsidP="003516A2">
      <w:pPr>
        <w:spacing w:line="360" w:lineRule="auto"/>
        <w:ind w:firstLine="720"/>
        <w:jc w:val="both"/>
        <w:rPr>
          <w:rFonts w:ascii="Times New Roman" w:hAnsi="Times New Roman" w:cs="Times New Roman"/>
          <w:sz w:val="22"/>
          <w:szCs w:val="22"/>
          <w:lang w:val="bg-BG"/>
        </w:rPr>
      </w:pPr>
      <w:r w:rsidRPr="007A5C75">
        <w:rPr>
          <w:rFonts w:ascii="Times New Roman" w:hAnsi="Times New Roman" w:cs="Times New Roman"/>
          <w:sz w:val="22"/>
          <w:szCs w:val="22"/>
        </w:rPr>
        <w:t xml:space="preserve">Petrov, D., Georgiev, M., Krastev, V., Boyadzhieva, D., Stoychev, V., &amp; Gopov, G. (2026). Functional fragmentation as a structural determinant of agricultural competitiveness: Evidence from the European Union. </w:t>
      </w:r>
      <w:r w:rsidRPr="007A5C75">
        <w:rPr>
          <w:rFonts w:ascii="Times New Roman" w:hAnsi="Times New Roman" w:cs="Times New Roman"/>
          <w:i/>
          <w:iCs/>
          <w:sz w:val="22"/>
          <w:szCs w:val="22"/>
        </w:rPr>
        <w:t>Agriculture</w:t>
      </w:r>
      <w:r w:rsidRPr="007A5C75">
        <w:rPr>
          <w:rFonts w:ascii="Times New Roman" w:hAnsi="Times New Roman" w:cs="Times New Roman"/>
          <w:sz w:val="22"/>
          <w:szCs w:val="22"/>
        </w:rPr>
        <w:t xml:space="preserve">, </w:t>
      </w:r>
      <w:r w:rsidRPr="007A5C75">
        <w:rPr>
          <w:rFonts w:ascii="Times New Roman" w:hAnsi="Times New Roman" w:cs="Times New Roman"/>
          <w:i/>
          <w:iCs/>
          <w:sz w:val="22"/>
          <w:szCs w:val="22"/>
        </w:rPr>
        <w:t>16</w:t>
      </w:r>
      <w:r w:rsidRPr="007A5C75">
        <w:rPr>
          <w:rFonts w:ascii="Times New Roman" w:hAnsi="Times New Roman" w:cs="Times New Roman"/>
          <w:sz w:val="22"/>
          <w:szCs w:val="22"/>
        </w:rPr>
        <w:t xml:space="preserve">(5), Article 493. </w:t>
      </w:r>
      <w:hyperlink r:id="rId13" w:tgtFrame="_blank" w:history="1">
        <w:r w:rsidRPr="007A5C75">
          <w:rPr>
            <w:rStyle w:val="Hyperlink"/>
            <w:rFonts w:ascii="Times New Roman" w:hAnsi="Times New Roman" w:cs="Times New Roman"/>
            <w:sz w:val="22"/>
            <w:szCs w:val="22"/>
          </w:rPr>
          <w:t>https://doi.org/10.3390/agriculture16050493</w:t>
        </w:r>
      </w:hyperlink>
    </w:p>
    <w:p w14:paraId="5E6F7166" w14:textId="77777777" w:rsidR="003516A2" w:rsidRPr="007A5C75" w:rsidRDefault="003516A2" w:rsidP="003516A2">
      <w:pPr>
        <w:spacing w:line="360" w:lineRule="auto"/>
        <w:ind w:firstLine="720"/>
        <w:jc w:val="both"/>
        <w:rPr>
          <w:rFonts w:ascii="Times New Roman" w:hAnsi="Times New Roman" w:cs="Times New Roman"/>
          <w:sz w:val="22"/>
          <w:szCs w:val="22"/>
          <w:lang w:val="bg-BG"/>
        </w:rPr>
      </w:pPr>
      <w:r w:rsidRPr="007A5C75">
        <w:rPr>
          <w:rFonts w:ascii="Times New Roman" w:hAnsi="Times New Roman" w:cs="Times New Roman"/>
          <w:sz w:val="22"/>
          <w:szCs w:val="22"/>
        </w:rPr>
        <w:t xml:space="preserve">Petrov, D. (2025). Trend scenarios for the impact of smart contracts on transaction costs in agricultural enterprises. </w:t>
      </w:r>
      <w:proofErr w:type="spellStart"/>
      <w:r w:rsidRPr="007A5C75">
        <w:rPr>
          <w:rFonts w:ascii="Times New Roman" w:hAnsi="Times New Roman" w:cs="Times New Roman"/>
          <w:i/>
          <w:iCs/>
          <w:sz w:val="22"/>
          <w:szCs w:val="22"/>
        </w:rPr>
        <w:t>Икономика</w:t>
      </w:r>
      <w:proofErr w:type="spellEnd"/>
      <w:r w:rsidRPr="007A5C75">
        <w:rPr>
          <w:rFonts w:ascii="Times New Roman" w:hAnsi="Times New Roman" w:cs="Times New Roman"/>
          <w:i/>
          <w:iCs/>
          <w:sz w:val="22"/>
          <w:szCs w:val="22"/>
        </w:rPr>
        <w:t xml:space="preserve"> и </w:t>
      </w:r>
      <w:proofErr w:type="spellStart"/>
      <w:r w:rsidRPr="007A5C75">
        <w:rPr>
          <w:rFonts w:ascii="Times New Roman" w:hAnsi="Times New Roman" w:cs="Times New Roman"/>
          <w:i/>
          <w:iCs/>
          <w:sz w:val="22"/>
          <w:szCs w:val="22"/>
        </w:rPr>
        <w:t>управление</w:t>
      </w:r>
      <w:proofErr w:type="spellEnd"/>
      <w:r w:rsidRPr="007A5C75">
        <w:rPr>
          <w:rFonts w:ascii="Times New Roman" w:hAnsi="Times New Roman" w:cs="Times New Roman"/>
          <w:i/>
          <w:iCs/>
          <w:sz w:val="22"/>
          <w:szCs w:val="22"/>
        </w:rPr>
        <w:t xml:space="preserve"> </w:t>
      </w:r>
      <w:proofErr w:type="spellStart"/>
      <w:r w:rsidRPr="007A5C75">
        <w:rPr>
          <w:rFonts w:ascii="Times New Roman" w:hAnsi="Times New Roman" w:cs="Times New Roman"/>
          <w:i/>
          <w:iCs/>
          <w:sz w:val="22"/>
          <w:szCs w:val="22"/>
        </w:rPr>
        <w:t>на</w:t>
      </w:r>
      <w:proofErr w:type="spellEnd"/>
      <w:r w:rsidRPr="007A5C75">
        <w:rPr>
          <w:rFonts w:ascii="Times New Roman" w:hAnsi="Times New Roman" w:cs="Times New Roman"/>
          <w:i/>
          <w:iCs/>
          <w:sz w:val="22"/>
          <w:szCs w:val="22"/>
        </w:rPr>
        <w:t xml:space="preserve"> </w:t>
      </w:r>
      <w:proofErr w:type="spellStart"/>
      <w:r w:rsidRPr="007A5C75">
        <w:rPr>
          <w:rFonts w:ascii="Times New Roman" w:hAnsi="Times New Roman" w:cs="Times New Roman"/>
          <w:i/>
          <w:iCs/>
          <w:sz w:val="22"/>
          <w:szCs w:val="22"/>
        </w:rPr>
        <w:t>селското</w:t>
      </w:r>
      <w:proofErr w:type="spellEnd"/>
      <w:r w:rsidRPr="007A5C75">
        <w:rPr>
          <w:rFonts w:ascii="Times New Roman" w:hAnsi="Times New Roman" w:cs="Times New Roman"/>
          <w:i/>
          <w:iCs/>
          <w:sz w:val="22"/>
          <w:szCs w:val="22"/>
        </w:rPr>
        <w:t xml:space="preserve"> </w:t>
      </w:r>
      <w:proofErr w:type="spellStart"/>
      <w:r w:rsidRPr="007A5C75">
        <w:rPr>
          <w:rFonts w:ascii="Times New Roman" w:hAnsi="Times New Roman" w:cs="Times New Roman"/>
          <w:i/>
          <w:iCs/>
          <w:sz w:val="22"/>
          <w:szCs w:val="22"/>
        </w:rPr>
        <w:t>стопанство</w:t>
      </w:r>
      <w:proofErr w:type="spellEnd"/>
      <w:r w:rsidRPr="007A5C75">
        <w:rPr>
          <w:rFonts w:ascii="Times New Roman" w:hAnsi="Times New Roman" w:cs="Times New Roman"/>
          <w:i/>
          <w:iCs/>
          <w:sz w:val="22"/>
          <w:szCs w:val="22"/>
        </w:rPr>
        <w:t xml:space="preserve"> / Bulgarian Journal of Agricultural Economics and Management</w:t>
      </w:r>
      <w:r w:rsidRPr="007A5C75">
        <w:rPr>
          <w:rFonts w:ascii="Times New Roman" w:hAnsi="Times New Roman" w:cs="Times New Roman"/>
          <w:sz w:val="22"/>
          <w:szCs w:val="22"/>
        </w:rPr>
        <w:t xml:space="preserve">, </w:t>
      </w:r>
      <w:r w:rsidRPr="007A5C75">
        <w:rPr>
          <w:rFonts w:ascii="Times New Roman" w:hAnsi="Times New Roman" w:cs="Times New Roman"/>
          <w:i/>
          <w:iCs/>
          <w:sz w:val="22"/>
          <w:szCs w:val="22"/>
        </w:rPr>
        <w:t>70</w:t>
      </w:r>
      <w:r w:rsidRPr="007A5C75">
        <w:rPr>
          <w:rFonts w:ascii="Times New Roman" w:hAnsi="Times New Roman" w:cs="Times New Roman"/>
          <w:sz w:val="22"/>
          <w:szCs w:val="22"/>
        </w:rPr>
        <w:t xml:space="preserve">(2), 15–27. </w:t>
      </w:r>
      <w:hyperlink r:id="rId14" w:tgtFrame="_blank" w:history="1">
        <w:r w:rsidRPr="007A5C75">
          <w:rPr>
            <w:rStyle w:val="Hyperlink"/>
            <w:rFonts w:ascii="Times New Roman" w:hAnsi="Times New Roman" w:cs="Times New Roman"/>
            <w:sz w:val="22"/>
            <w:szCs w:val="22"/>
          </w:rPr>
          <w:t>https://doi.org/10.61308/MXCY8192</w:t>
        </w:r>
      </w:hyperlink>
    </w:p>
    <w:p w14:paraId="745E4CD0" w14:textId="77777777" w:rsidR="003516A2" w:rsidRDefault="003516A2" w:rsidP="003516A2">
      <w:pPr>
        <w:spacing w:line="360" w:lineRule="auto"/>
        <w:ind w:firstLine="720"/>
        <w:jc w:val="both"/>
        <w:rPr>
          <w:rFonts w:ascii="Times New Roman" w:hAnsi="Times New Roman" w:cs="Times New Roman"/>
          <w:sz w:val="22"/>
          <w:szCs w:val="22"/>
          <w:lang w:val="bg-BG"/>
        </w:rPr>
      </w:pPr>
      <w:r w:rsidRPr="007A5C75">
        <w:rPr>
          <w:rFonts w:ascii="Times New Roman" w:hAnsi="Times New Roman" w:cs="Times New Roman"/>
          <w:sz w:val="22"/>
          <w:szCs w:val="22"/>
        </w:rPr>
        <w:t xml:space="preserve">Petrov, D., &amp; Ivanov, B. (2026). Sustainable farm decision-making in agriculture: Empirical evidence from Bulgarian farms. </w:t>
      </w:r>
      <w:r w:rsidRPr="007A5C75">
        <w:rPr>
          <w:rFonts w:ascii="Times New Roman" w:hAnsi="Times New Roman" w:cs="Times New Roman"/>
          <w:i/>
          <w:iCs/>
          <w:sz w:val="22"/>
          <w:szCs w:val="22"/>
        </w:rPr>
        <w:t>Scientific Atlas</w:t>
      </w:r>
      <w:r w:rsidRPr="007A5C75">
        <w:rPr>
          <w:rFonts w:ascii="Times New Roman" w:hAnsi="Times New Roman" w:cs="Times New Roman"/>
          <w:sz w:val="22"/>
          <w:szCs w:val="22"/>
        </w:rPr>
        <w:t xml:space="preserve">, (14), 20–30. </w:t>
      </w:r>
      <w:hyperlink r:id="rId15" w:tgtFrame="_blank" w:history="1">
        <w:r w:rsidRPr="007A5C75">
          <w:rPr>
            <w:rStyle w:val="Hyperlink"/>
            <w:rFonts w:ascii="Times New Roman" w:hAnsi="Times New Roman" w:cs="Times New Roman"/>
            <w:sz w:val="22"/>
            <w:szCs w:val="22"/>
          </w:rPr>
          <w:t>https://scientificatlas.com/article/sustainable-farm-decision-making-in-agriculture-empirical-evidence-from-bulgarian-farms</w:t>
        </w:r>
      </w:hyperlink>
    </w:p>
    <w:p w14:paraId="53F8CEBC" w14:textId="7773E7EE" w:rsidR="003516A2" w:rsidRPr="003516A2" w:rsidRDefault="003516A2" w:rsidP="003516A2">
      <w:pPr>
        <w:spacing w:line="360" w:lineRule="auto"/>
        <w:jc w:val="both"/>
        <w:rPr>
          <w:rFonts w:ascii="Times New Roman" w:hAnsi="Times New Roman" w:cs="Times New Roman"/>
          <w:b/>
          <w:bCs/>
        </w:rPr>
      </w:pPr>
      <w:r w:rsidRPr="003516A2">
        <w:rPr>
          <w:rFonts w:ascii="Times New Roman" w:hAnsi="Times New Roman" w:cs="Times New Roman"/>
          <w:b/>
          <w:bCs/>
        </w:rPr>
        <w:t>DECLARATION OF ORIGINALITY AND AUTHENTICITY</w:t>
      </w:r>
    </w:p>
    <w:p w14:paraId="0428F93E" w14:textId="7BEF17EE" w:rsidR="00BC571D" w:rsidRPr="003516A2" w:rsidRDefault="003516A2" w:rsidP="003516A2">
      <w:pPr>
        <w:spacing w:line="360" w:lineRule="auto"/>
        <w:ind w:firstLine="720"/>
        <w:jc w:val="both"/>
        <w:rPr>
          <w:rFonts w:ascii="Times New Roman" w:hAnsi="Times New Roman" w:cs="Times New Roman"/>
          <w:lang w:val="bg-BG"/>
        </w:rPr>
      </w:pPr>
      <w:r w:rsidRPr="003516A2">
        <w:rPr>
          <w:rFonts w:ascii="Times New Roman" w:hAnsi="Times New Roman" w:cs="Times New Roman"/>
        </w:rPr>
        <w:t>I hereby declare that the present dissertation is entirely my own original research and that no third-party publications or works have been used in violation of their copyrights during its development.</w:t>
      </w:r>
    </w:p>
    <w:sectPr w:rsidR="00BC571D" w:rsidRPr="003516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754"/>
    <w:multiLevelType w:val="multilevel"/>
    <w:tmpl w:val="5070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744C7C"/>
    <w:multiLevelType w:val="multilevel"/>
    <w:tmpl w:val="DF52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64F08"/>
    <w:multiLevelType w:val="multilevel"/>
    <w:tmpl w:val="7A50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3C5BF3"/>
    <w:multiLevelType w:val="multilevel"/>
    <w:tmpl w:val="766C8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6591472">
    <w:abstractNumId w:val="2"/>
  </w:num>
  <w:num w:numId="2" w16cid:durableId="677654575">
    <w:abstractNumId w:val="3"/>
  </w:num>
  <w:num w:numId="3" w16cid:durableId="499665404">
    <w:abstractNumId w:val="1"/>
  </w:num>
  <w:num w:numId="4" w16cid:durableId="572273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1EF"/>
    <w:rsid w:val="00041853"/>
    <w:rsid w:val="000425EF"/>
    <w:rsid w:val="000B6730"/>
    <w:rsid w:val="001E21EF"/>
    <w:rsid w:val="001E285D"/>
    <w:rsid w:val="00273EA2"/>
    <w:rsid w:val="002F4BFD"/>
    <w:rsid w:val="003516A2"/>
    <w:rsid w:val="003D67D2"/>
    <w:rsid w:val="00406058"/>
    <w:rsid w:val="00507102"/>
    <w:rsid w:val="00531AEA"/>
    <w:rsid w:val="00627058"/>
    <w:rsid w:val="006D570B"/>
    <w:rsid w:val="006F0FB0"/>
    <w:rsid w:val="00790727"/>
    <w:rsid w:val="00826E40"/>
    <w:rsid w:val="00967C20"/>
    <w:rsid w:val="009E79E8"/>
    <w:rsid w:val="00A40E69"/>
    <w:rsid w:val="00A51D3E"/>
    <w:rsid w:val="00A71CA9"/>
    <w:rsid w:val="00A7419E"/>
    <w:rsid w:val="00AE60C7"/>
    <w:rsid w:val="00AF4063"/>
    <w:rsid w:val="00BC571D"/>
    <w:rsid w:val="00CF6029"/>
    <w:rsid w:val="00D9065A"/>
    <w:rsid w:val="00F81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DEFF7"/>
  <w15:chartTrackingRefBased/>
  <w15:docId w15:val="{55C65084-48D3-4497-8693-9B9257CE7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1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E21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21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21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21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21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1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1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1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1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E21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21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21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21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21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1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1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1EF"/>
    <w:rPr>
      <w:rFonts w:eastAsiaTheme="majorEastAsia" w:cstheme="majorBidi"/>
      <w:color w:val="272727" w:themeColor="text1" w:themeTint="D8"/>
    </w:rPr>
  </w:style>
  <w:style w:type="paragraph" w:styleId="Title">
    <w:name w:val="Title"/>
    <w:basedOn w:val="Normal"/>
    <w:next w:val="Normal"/>
    <w:link w:val="TitleChar"/>
    <w:uiPriority w:val="10"/>
    <w:qFormat/>
    <w:rsid w:val="001E21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1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1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1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1EF"/>
    <w:pPr>
      <w:spacing w:before="160"/>
      <w:jc w:val="center"/>
    </w:pPr>
    <w:rPr>
      <w:i/>
      <w:iCs/>
      <w:color w:val="404040" w:themeColor="text1" w:themeTint="BF"/>
    </w:rPr>
  </w:style>
  <w:style w:type="character" w:customStyle="1" w:styleId="QuoteChar">
    <w:name w:val="Quote Char"/>
    <w:basedOn w:val="DefaultParagraphFont"/>
    <w:link w:val="Quote"/>
    <w:uiPriority w:val="29"/>
    <w:rsid w:val="001E21EF"/>
    <w:rPr>
      <w:i/>
      <w:iCs/>
      <w:color w:val="404040" w:themeColor="text1" w:themeTint="BF"/>
    </w:rPr>
  </w:style>
  <w:style w:type="paragraph" w:styleId="ListParagraph">
    <w:name w:val="List Paragraph"/>
    <w:basedOn w:val="Normal"/>
    <w:uiPriority w:val="34"/>
    <w:qFormat/>
    <w:rsid w:val="001E21EF"/>
    <w:pPr>
      <w:ind w:left="720"/>
      <w:contextualSpacing/>
    </w:pPr>
  </w:style>
  <w:style w:type="character" w:styleId="IntenseEmphasis">
    <w:name w:val="Intense Emphasis"/>
    <w:basedOn w:val="DefaultParagraphFont"/>
    <w:uiPriority w:val="21"/>
    <w:qFormat/>
    <w:rsid w:val="001E21EF"/>
    <w:rPr>
      <w:i/>
      <w:iCs/>
      <w:color w:val="2F5496" w:themeColor="accent1" w:themeShade="BF"/>
    </w:rPr>
  </w:style>
  <w:style w:type="paragraph" w:styleId="IntenseQuote">
    <w:name w:val="Intense Quote"/>
    <w:basedOn w:val="Normal"/>
    <w:next w:val="Normal"/>
    <w:link w:val="IntenseQuoteChar"/>
    <w:uiPriority w:val="30"/>
    <w:qFormat/>
    <w:rsid w:val="001E21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21EF"/>
    <w:rPr>
      <w:i/>
      <w:iCs/>
      <w:color w:val="2F5496" w:themeColor="accent1" w:themeShade="BF"/>
    </w:rPr>
  </w:style>
  <w:style w:type="character" w:styleId="IntenseReference">
    <w:name w:val="Intense Reference"/>
    <w:basedOn w:val="DefaultParagraphFont"/>
    <w:uiPriority w:val="32"/>
    <w:qFormat/>
    <w:rsid w:val="001E21EF"/>
    <w:rPr>
      <w:b/>
      <w:bCs/>
      <w:smallCaps/>
      <w:color w:val="2F5496" w:themeColor="accent1" w:themeShade="BF"/>
      <w:spacing w:val="5"/>
    </w:rPr>
  </w:style>
  <w:style w:type="paragraph" w:styleId="Caption">
    <w:name w:val="caption"/>
    <w:basedOn w:val="Normal"/>
    <w:next w:val="Normal"/>
    <w:uiPriority w:val="35"/>
    <w:unhideWhenUsed/>
    <w:qFormat/>
    <w:rsid w:val="00A71CA9"/>
    <w:pPr>
      <w:spacing w:after="200" w:line="240" w:lineRule="auto"/>
    </w:pPr>
    <w:rPr>
      <w:i/>
      <w:iCs/>
      <w:color w:val="44546A" w:themeColor="text2"/>
      <w:kern w:val="0"/>
      <w:sz w:val="18"/>
      <w:szCs w:val="18"/>
      <w14:ligatures w14:val="none"/>
    </w:rPr>
  </w:style>
  <w:style w:type="paragraph" w:styleId="TOCHeading">
    <w:name w:val="TOC Heading"/>
    <w:basedOn w:val="Heading1"/>
    <w:next w:val="Normal"/>
    <w:uiPriority w:val="39"/>
    <w:unhideWhenUsed/>
    <w:qFormat/>
    <w:rsid w:val="00507102"/>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507102"/>
    <w:pPr>
      <w:spacing w:after="100"/>
    </w:pPr>
  </w:style>
  <w:style w:type="paragraph" w:styleId="TOC2">
    <w:name w:val="toc 2"/>
    <w:basedOn w:val="Normal"/>
    <w:next w:val="Normal"/>
    <w:autoRedefine/>
    <w:uiPriority w:val="39"/>
    <w:unhideWhenUsed/>
    <w:rsid w:val="00507102"/>
    <w:pPr>
      <w:spacing w:after="100"/>
      <w:ind w:left="240"/>
    </w:pPr>
  </w:style>
  <w:style w:type="character" w:styleId="Hyperlink">
    <w:name w:val="Hyperlink"/>
    <w:basedOn w:val="DefaultParagraphFont"/>
    <w:uiPriority w:val="99"/>
    <w:unhideWhenUsed/>
    <w:rsid w:val="005071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3390/agriculture16050493" TargetMode="Externa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scientificatlas.com/article/sustainable-farm-decision-making-in-agriculture-empirical-evidence-from-bulgarian-farms"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ogle.com/search?q=https://doi.org/10.61308/MXCY8192"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0"/>
          <c:order val="0"/>
          <c:spPr>
            <a:ln w="28556" cap="rnd">
              <a:solidFill>
                <a:schemeClr val="accent1"/>
              </a:solidFill>
              <a:round/>
            </a:ln>
            <a:effectLst/>
          </c:spPr>
          <c:marker>
            <c:symbol val="none"/>
          </c:marker>
          <c:cat>
            <c:numRef>
              <c:f>Sheet2!$E$2:$E$17</c:f>
              <c:numCache>
                <c:formatCode>General</c:formatCode>
                <c:ptCount val="16"/>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numCache>
            </c:numRef>
          </c:cat>
          <c:val>
            <c:numRef>
              <c:f>Sheet2!$N$2:$N$17</c:f>
              <c:numCache>
                <c:formatCode>General</c:formatCode>
                <c:ptCount val="16"/>
                <c:pt idx="0">
                  <c:v>1.0339478223925109</c:v>
                </c:pt>
                <c:pt idx="1">
                  <c:v>0.95394039860763669</c:v>
                </c:pt>
                <c:pt idx="2">
                  <c:v>0.82408611743689253</c:v>
                </c:pt>
                <c:pt idx="3">
                  <c:v>0.92313841795867335</c:v>
                </c:pt>
                <c:pt idx="4">
                  <c:v>0.92993324119934517</c:v>
                </c:pt>
                <c:pt idx="5">
                  <c:v>0.91729037569873451</c:v>
                </c:pt>
                <c:pt idx="6">
                  <c:v>0.82905063180019156</c:v>
                </c:pt>
                <c:pt idx="7">
                  <c:v>0.83629872717119846</c:v>
                </c:pt>
                <c:pt idx="8">
                  <c:v>0.81576683526407312</c:v>
                </c:pt>
                <c:pt idx="9">
                  <c:v>0.80226669722521671</c:v>
                </c:pt>
                <c:pt idx="10">
                  <c:v>0.8514295633794029</c:v>
                </c:pt>
                <c:pt idx="11">
                  <c:v>0.86027995723471606</c:v>
                </c:pt>
                <c:pt idx="12">
                  <c:v>0.8369859552503367</c:v>
                </c:pt>
                <c:pt idx="13">
                  <c:v>0.83126531166804007</c:v>
                </c:pt>
                <c:pt idx="14">
                  <c:v>1.0140318962456907</c:v>
                </c:pt>
                <c:pt idx="15">
                  <c:v>1.000630533569107</c:v>
                </c:pt>
              </c:numCache>
            </c:numRef>
          </c:val>
          <c:smooth val="0"/>
          <c:extLst>
            <c:ext xmlns:c16="http://schemas.microsoft.com/office/drawing/2014/chart" uri="{C3380CC4-5D6E-409C-BE32-E72D297353CC}">
              <c16:uniqueId val="{00000000-BAE1-483B-B24D-172FB7B061F3}"/>
            </c:ext>
          </c:extLst>
        </c:ser>
        <c:dLbls>
          <c:showLegendKey val="0"/>
          <c:showVal val="0"/>
          <c:showCatName val="0"/>
          <c:showSerName val="0"/>
          <c:showPercent val="0"/>
          <c:showBubbleSize val="0"/>
        </c:dLbls>
        <c:smooth val="0"/>
        <c:axId val="745079296"/>
        <c:axId val="1"/>
      </c:lineChart>
      <c:catAx>
        <c:axId val="745079296"/>
        <c:scaling>
          <c:orientation val="minMax"/>
        </c:scaling>
        <c:delete val="0"/>
        <c:axPos val="b"/>
        <c:numFmt formatCode="General" sourceLinked="1"/>
        <c:majorTickMark val="none"/>
        <c:minorTickMark val="none"/>
        <c:tickLblPos val="nextTo"/>
        <c:spPr>
          <a:noFill/>
          <a:ln w="9519" cap="flat" cmpd="sng" algn="ctr">
            <a:solidFill>
              <a:schemeClr val="tx1">
                <a:lumMod val="15000"/>
                <a:lumOff val="85000"/>
              </a:schemeClr>
            </a:solidFill>
            <a:round/>
          </a:ln>
          <a:effectLst/>
        </c:spPr>
        <c:txPr>
          <a:bodyPr rot="-60000000" spcFirstLastPara="1" vertOverflow="ellipsis" vert="horz" wrap="square" anchor="ctr" anchorCtr="1"/>
          <a:lstStyle/>
          <a:p>
            <a:pPr>
              <a:defRPr sz="999"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
        <c:crosses val="autoZero"/>
        <c:auto val="1"/>
        <c:lblAlgn val="ctr"/>
        <c:lblOffset val="100"/>
        <c:noMultiLvlLbl val="0"/>
      </c:catAx>
      <c:valAx>
        <c:axId val="1"/>
        <c:scaling>
          <c:orientation val="minMax"/>
        </c:scaling>
        <c:delete val="0"/>
        <c:axPos val="l"/>
        <c:majorGridlines>
          <c:spPr>
            <a:ln w="9519"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45079296"/>
        <c:crosses val="autoZero"/>
        <c:crossBetween val="between"/>
      </c:valAx>
      <c:spPr>
        <a:noFill/>
        <a:ln w="25383">
          <a:noFill/>
        </a:ln>
      </c:spPr>
    </c:plotArea>
    <c:plotVisOnly val="1"/>
    <c:dispBlanksAs val="zero"/>
    <c:showDLblsOverMax val="0"/>
  </c:chart>
  <c:spPr>
    <a:solidFill>
      <a:schemeClr val="bg1"/>
    </a:solidFill>
    <a:ln w="9519"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0"/>
          <c:order val="0"/>
          <c:spPr>
            <a:ln w="28559" cap="rnd">
              <a:solidFill>
                <a:schemeClr val="accent1"/>
              </a:solidFill>
              <a:round/>
            </a:ln>
            <a:effectLst/>
          </c:spPr>
          <c:marker>
            <c:symbol val="none"/>
          </c:marker>
          <c:cat>
            <c:numRef>
              <c:f>Sheet4!$M$2:$M$17</c:f>
              <c:numCache>
                <c:formatCode>General</c:formatCode>
                <c:ptCount val="16"/>
                <c:pt idx="0">
                  <c:v>2007</c:v>
                </c:pt>
                <c:pt idx="1">
                  <c:v>2008</c:v>
                </c:pt>
                <c:pt idx="2">
                  <c:v>2009</c:v>
                </c:pt>
                <c:pt idx="3">
                  <c:v>2010</c:v>
                </c:pt>
                <c:pt idx="4">
                  <c:v>2011</c:v>
                </c:pt>
                <c:pt idx="5">
                  <c:v>2012</c:v>
                </c:pt>
                <c:pt idx="6">
                  <c:v>2013</c:v>
                </c:pt>
                <c:pt idx="7">
                  <c:v>2013</c:v>
                </c:pt>
                <c:pt idx="8">
                  <c:v>2014</c:v>
                </c:pt>
                <c:pt idx="9">
                  <c:v>2014</c:v>
                </c:pt>
                <c:pt idx="10">
                  <c:v>2015</c:v>
                </c:pt>
                <c:pt idx="11">
                  <c:v>2015</c:v>
                </c:pt>
                <c:pt idx="12">
                  <c:v>2016</c:v>
                </c:pt>
                <c:pt idx="13">
                  <c:v>2016</c:v>
                </c:pt>
                <c:pt idx="14">
                  <c:v>2017</c:v>
                </c:pt>
                <c:pt idx="15">
                  <c:v>2017</c:v>
                </c:pt>
              </c:numCache>
            </c:numRef>
          </c:cat>
          <c:val>
            <c:numRef>
              <c:f>Sheet4!$N$2:$N$17</c:f>
              <c:numCache>
                <c:formatCode>General</c:formatCode>
                <c:ptCount val="16"/>
                <c:pt idx="0">
                  <c:v>0.14272595214371675</c:v>
                </c:pt>
                <c:pt idx="1">
                  <c:v>0.16208386982542564</c:v>
                </c:pt>
                <c:pt idx="2">
                  <c:v>0.17935453027003928</c:v>
                </c:pt>
                <c:pt idx="3">
                  <c:v>0.23688217097178169</c:v>
                </c:pt>
                <c:pt idx="4">
                  <c:v>0.27092916487302066</c:v>
                </c:pt>
                <c:pt idx="5">
                  <c:v>0.30901025593118653</c:v>
                </c:pt>
                <c:pt idx="6">
                  <c:v>0.30154229966518031</c:v>
                </c:pt>
                <c:pt idx="7">
                  <c:v>0.33374597036213288</c:v>
                </c:pt>
                <c:pt idx="8">
                  <c:v>0.33778939559609555</c:v>
                </c:pt>
                <c:pt idx="9">
                  <c:v>0.34556214799967466</c:v>
                </c:pt>
                <c:pt idx="10">
                  <c:v>0.44483738092000585</c:v>
                </c:pt>
                <c:pt idx="11">
                  <c:v>0.4844749903928548</c:v>
                </c:pt>
                <c:pt idx="12">
                  <c:v>0.49141842933679747</c:v>
                </c:pt>
                <c:pt idx="13">
                  <c:v>0.50663286273863073</c:v>
                </c:pt>
                <c:pt idx="14">
                  <c:v>0.67459243012342818</c:v>
                </c:pt>
                <c:pt idx="15">
                  <c:v>0.85308547418473601</c:v>
                </c:pt>
              </c:numCache>
            </c:numRef>
          </c:val>
          <c:smooth val="0"/>
          <c:extLst>
            <c:ext xmlns:c16="http://schemas.microsoft.com/office/drawing/2014/chart" uri="{C3380CC4-5D6E-409C-BE32-E72D297353CC}">
              <c16:uniqueId val="{00000000-EF03-43B6-B718-839BD8A29033}"/>
            </c:ext>
          </c:extLst>
        </c:ser>
        <c:dLbls>
          <c:showLegendKey val="0"/>
          <c:showVal val="0"/>
          <c:showCatName val="0"/>
          <c:showSerName val="0"/>
          <c:showPercent val="0"/>
          <c:showBubbleSize val="0"/>
        </c:dLbls>
        <c:smooth val="0"/>
        <c:axId val="897602384"/>
        <c:axId val="1"/>
      </c:lineChart>
      <c:catAx>
        <c:axId val="897602384"/>
        <c:scaling>
          <c:orientation val="minMax"/>
        </c:scaling>
        <c:delete val="0"/>
        <c:axPos val="b"/>
        <c:numFmt formatCode="General" sourceLinked="1"/>
        <c:majorTickMark val="none"/>
        <c:minorTickMark val="none"/>
        <c:tickLblPos val="nextTo"/>
        <c:spPr>
          <a:noFill/>
          <a:ln w="9520" cap="flat" cmpd="sng" algn="ctr">
            <a:solidFill>
              <a:schemeClr val="tx1">
                <a:lumMod val="15000"/>
                <a:lumOff val="85000"/>
              </a:schemeClr>
            </a:solidFill>
            <a:round/>
          </a:ln>
          <a:effectLst/>
        </c:spPr>
        <c:txPr>
          <a:bodyPr rot="-60000000" spcFirstLastPara="1" vertOverflow="ellipsis" vert="horz" wrap="square" anchor="ctr" anchorCtr="1"/>
          <a:lstStyle/>
          <a:p>
            <a:pPr>
              <a:defRPr sz="999"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
        <c:crosses val="autoZero"/>
        <c:auto val="1"/>
        <c:lblAlgn val="ctr"/>
        <c:lblOffset val="100"/>
        <c:noMultiLvlLbl val="0"/>
      </c:catAx>
      <c:valAx>
        <c:axId val="1"/>
        <c:scaling>
          <c:orientation val="minMax"/>
        </c:scaling>
        <c:delete val="0"/>
        <c:axPos val="l"/>
        <c:majorGridlines>
          <c:spPr>
            <a:ln w="952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7602384"/>
        <c:crosses val="autoZero"/>
        <c:crossBetween val="between"/>
      </c:valAx>
      <c:spPr>
        <a:noFill/>
        <a:ln w="25385">
          <a:noFill/>
        </a:ln>
      </c:spPr>
    </c:plotArea>
    <c:plotVisOnly val="1"/>
    <c:dispBlanksAs val="zero"/>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E66B8-8AE1-4A02-9580-D8B10F592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10761</Words>
  <Characters>61338</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Petrov</dc:creator>
  <cp:keywords/>
  <dc:description/>
  <cp:lastModifiedBy>Daniel Petrov</cp:lastModifiedBy>
  <cp:revision>15</cp:revision>
  <dcterms:created xsi:type="dcterms:W3CDTF">2026-05-07T21:42:00Z</dcterms:created>
  <dcterms:modified xsi:type="dcterms:W3CDTF">2026-05-08T07:39:00Z</dcterms:modified>
</cp:coreProperties>
</file>