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drawings/drawing1.xml" ContentType="application/vnd.openxmlformats-officedocument.drawingml.chartshapes+xml"/>
  <Override PartName="/word/charts/chart4.xml" ContentType="application/vnd.openxmlformats-officedocument.drawingml.chart+xml"/>
  <Override PartName="/word/theme/themeOverride4.xml" ContentType="application/vnd.openxmlformats-officedocument.themeOverride+xml"/>
  <Override PartName="/word/drawings/drawing2.xml" ContentType="application/vnd.openxmlformats-officedocument.drawingml.chartshapes+xml"/>
  <Override PartName="/word/charts/chart5.xml" ContentType="application/vnd.openxmlformats-officedocument.drawingml.chart+xml"/>
  <Override PartName="/word/theme/themeOverride5.xml" ContentType="application/vnd.openxmlformats-officedocument.themeOverride+xml"/>
  <Override PartName="/word/drawings/drawing3.xml" ContentType="application/vnd.openxmlformats-officedocument.drawingml.chartshapes+xml"/>
  <Override PartName="/word/charts/chart6.xml" ContentType="application/vnd.openxmlformats-officedocument.drawingml.chart+xml"/>
  <Override PartName="/word/theme/themeOverride6.xml" ContentType="application/vnd.openxmlformats-officedocument.themeOverride+xml"/>
  <Override PartName="/word/drawings/drawing4.xml" ContentType="application/vnd.openxmlformats-officedocument.drawingml.chartshapes+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drawings/drawing5.xml" ContentType="application/vnd.openxmlformats-officedocument.drawingml.chartshapes+xml"/>
  <Override PartName="/word/charts/chart9.xml" ContentType="application/vnd.openxmlformats-officedocument.drawingml.chart+xml"/>
  <Override PartName="/word/theme/themeOverride9.xml" ContentType="application/vnd.openxmlformats-officedocument.themeOverride+xml"/>
  <Override PartName="/word/drawings/drawing6.xml" ContentType="application/vnd.openxmlformats-officedocument.drawingml.chartshapes+xml"/>
  <Override PartName="/word/charts/chart10.xml" ContentType="application/vnd.openxmlformats-officedocument.drawingml.chart+xml"/>
  <Override PartName="/word/theme/themeOverride10.xml" ContentType="application/vnd.openxmlformats-officedocument.themeOverride+xml"/>
  <Override PartName="/word/drawings/drawing7.xml" ContentType="application/vnd.openxmlformats-officedocument.drawingml.chartshapes+xml"/>
  <Override PartName="/word/charts/chart11.xml" ContentType="application/vnd.openxmlformats-officedocument.drawingml.chart+xml"/>
  <Override PartName="/word/theme/themeOverride11.xml" ContentType="application/vnd.openxmlformats-officedocument.themeOverride+xml"/>
  <Override PartName="/word/drawings/drawing8.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62A5" w:rsidRDefault="00D062D2" w:rsidP="000762A5">
      <w:pPr>
        <w:ind w:firstLine="360"/>
        <w:jc w:val="center"/>
        <w:rPr>
          <w:rFonts w:ascii="Times New Roman" w:hAnsi="Times New Roman"/>
          <w:b/>
          <w:noProof/>
          <w:sz w:val="32"/>
          <w:szCs w:val="32"/>
        </w:rPr>
      </w:pPr>
      <w:r>
        <w:rPr>
          <w:noProof/>
          <w:lang w:val="en-US"/>
        </w:rPr>
        <mc:AlternateContent>
          <mc:Choice Requires="wpg">
            <w:drawing>
              <wp:anchor distT="0" distB="0" distL="114300" distR="114300" simplePos="0" relativeHeight="251659264" behindDoc="1" locked="0" layoutInCell="1" allowOverlap="1">
                <wp:simplePos x="0" y="0"/>
                <wp:positionH relativeFrom="column">
                  <wp:posOffset>434340</wp:posOffset>
                </wp:positionH>
                <wp:positionV relativeFrom="paragraph">
                  <wp:posOffset>-5080</wp:posOffset>
                </wp:positionV>
                <wp:extent cx="5950585" cy="585470"/>
                <wp:effectExtent l="0" t="0" r="0" b="0"/>
                <wp:wrapNone/>
                <wp:docPr id="27" name="Group 57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0585" cy="585470"/>
                          <a:chOff x="0" y="0"/>
                          <a:chExt cx="5798185" cy="588747"/>
                        </a:xfrm>
                      </wpg:grpSpPr>
                      <wps:wsp>
                        <wps:cNvPr id="28" name="Shape 7034"/>
                        <wps:cNvSpPr/>
                        <wps:spPr>
                          <a:xfrm>
                            <a:off x="0" y="579603"/>
                            <a:ext cx="5798185" cy="9144"/>
                          </a:xfrm>
                          <a:custGeom>
                            <a:avLst/>
                            <a:gdLst/>
                            <a:ahLst/>
                            <a:cxnLst/>
                            <a:rect l="0" t="0" r="0" b="0"/>
                            <a:pathLst>
                              <a:path w="5798185" h="9144">
                                <a:moveTo>
                                  <a:pt x="0" y="0"/>
                                </a:moveTo>
                                <a:lnTo>
                                  <a:pt x="5798185" y="0"/>
                                </a:lnTo>
                                <a:lnTo>
                                  <a:pt x="5798185" y="9144"/>
                                </a:lnTo>
                                <a:lnTo>
                                  <a:pt x="0" y="9144"/>
                                </a:lnTo>
                                <a:lnTo>
                                  <a:pt x="0" y="0"/>
                                </a:lnTo>
                              </a:path>
                            </a:pathLst>
                          </a:custGeom>
                          <a:solidFill>
                            <a:srgbClr val="000000"/>
                          </a:solidFill>
                          <a:ln w="0" cap="flat">
                            <a:noFill/>
                            <a:miter lim="127000"/>
                          </a:ln>
                          <a:effectLst/>
                        </wps:spPr>
                        <wps:bodyPr/>
                      </wps:wsp>
                      <pic:pic xmlns:pic="http://schemas.openxmlformats.org/drawingml/2006/picture">
                        <pic:nvPicPr>
                          <pic:cNvPr id="30" name="Picture 1024"/>
                          <pic:cNvPicPr/>
                        </pic:nvPicPr>
                        <pic:blipFill>
                          <a:blip r:embed="rId7"/>
                          <a:stretch>
                            <a:fillRect/>
                          </a:stretch>
                        </pic:blipFill>
                        <pic:spPr>
                          <a:xfrm>
                            <a:off x="26149" y="0"/>
                            <a:ext cx="409562" cy="476225"/>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2D579927" id="Group 5743" o:spid="_x0000_s1026" style="position:absolute;margin-left:34.2pt;margin-top:-.4pt;width:468.55pt;height:46.1pt;z-index:-251657216" coordsize="57981,58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">
                <v:shape id="Shape 7034" o:spid="_x0000_s1027" style="position:absolute;top:5796;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" path="m,l5798185,r,9144l,9144,,e" fillcolor="black" stroked="f" strokeweight="0">
                  <v:stroke miterlimit="83231f" joinstyle="miter"/>
                  <v:path arrowok="t" textboxrect="0,0,5798185,914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24" o:spid="_x0000_s1028" type="#_x0000_t75" style="position:absolute;left:261;width:4096;height:4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">
                  <v:imagedata r:id="rId8" o:title=""/>
                </v:shape>
              </v:group>
            </w:pict>
          </mc:Fallback>
        </mc:AlternateContent>
      </w:r>
      <w:r w:rsidR="00FF3F58">
        <w:rPr>
          <w:rFonts w:ascii="Calibri" w:hAnsi="Calibri" w:cs="Calibri"/>
          <w:color w:val="000000"/>
          <w:lang w:val="en-US"/>
        </w:rPr>
        <w:t xml:space="preserve"> </w:t>
      </w:r>
      <w:r w:rsidR="00E15AF4" w:rsidRPr="00E15AF4">
        <w:rPr>
          <w:rFonts w:ascii="Times New Roman" w:hAnsi="Times New Roman"/>
          <w:b/>
          <w:noProof/>
          <w:sz w:val="32"/>
          <w:szCs w:val="32"/>
        </w:rPr>
        <w:t>AGRICULTURAL ACADEMY</w:t>
      </w:r>
    </w:p>
    <w:p w:rsidR="002E2C73" w:rsidRPr="00E15AF4" w:rsidRDefault="002E2C73" w:rsidP="000762A5">
      <w:pPr>
        <w:ind w:firstLine="360"/>
        <w:jc w:val="center"/>
        <w:rPr>
          <w:rFonts w:ascii="Times New Roman" w:hAnsi="Times New Roman"/>
          <w:noProof/>
          <w:sz w:val="32"/>
          <w:szCs w:val="32"/>
          <w:lang w:val="en-US"/>
        </w:rPr>
      </w:pPr>
    </w:p>
    <w:p w:rsidR="002E2C73" w:rsidRPr="002E2C73" w:rsidRDefault="002E2C73" w:rsidP="002E2C73">
      <w:pPr>
        <w:ind w:firstLine="0"/>
        <w:jc w:val="center"/>
        <w:rPr>
          <w:rFonts w:ascii="Times New Roman" w:hAnsi="Times New Roman"/>
          <w:b/>
          <w:iCs/>
          <w:sz w:val="32"/>
          <w:szCs w:val="32"/>
          <w:lang w:val="en-US" w:eastAsia="bg-BG"/>
        </w:rPr>
      </w:pPr>
      <w:r w:rsidRPr="002E2C73">
        <w:rPr>
          <w:rFonts w:ascii="Times New Roman" w:hAnsi="Times New Roman"/>
          <w:b/>
          <w:iCs/>
          <w:sz w:val="32"/>
          <w:szCs w:val="32"/>
          <w:lang w:val="en-US" w:eastAsia="bg-BG"/>
        </w:rPr>
        <w:t>INSTITUTE OF SOIL SCIENCE, AGROTECHNOLOGIES AND PLANT PROTECTION "NIKOLA POUSHKAROV"</w:t>
      </w:r>
    </w:p>
    <w:p w:rsidR="002E2C73" w:rsidRPr="002E2C73" w:rsidRDefault="002E2C73" w:rsidP="002E2C73">
      <w:pPr>
        <w:spacing w:line="259" w:lineRule="auto"/>
        <w:ind w:firstLine="0"/>
        <w:jc w:val="right"/>
        <w:rPr>
          <w:rFonts w:ascii="Calibri" w:hAnsi="Calibri" w:cs="Calibri"/>
          <w:color w:val="000000"/>
          <w:sz w:val="24"/>
          <w:lang w:val="en-US"/>
        </w:rPr>
      </w:pPr>
    </w:p>
    <w:p w:rsidR="002E2C73" w:rsidRPr="002E2C73" w:rsidRDefault="002E2C73" w:rsidP="002E2C73">
      <w:pPr>
        <w:spacing w:after="115" w:line="259" w:lineRule="auto"/>
        <w:ind w:firstLine="0"/>
        <w:jc w:val="left"/>
        <w:rPr>
          <w:rFonts w:ascii="Calibri" w:hAnsi="Calibri" w:cs="Calibri"/>
          <w:color w:val="000000"/>
          <w:sz w:val="24"/>
          <w:lang w:val="en-US"/>
        </w:rPr>
      </w:pPr>
      <w:r w:rsidRPr="002E2C73">
        <w:rPr>
          <w:rFonts w:ascii="Calibri" w:hAnsi="Calibri" w:cs="Calibri"/>
          <w:color w:val="000000"/>
          <w:lang w:val="en-US"/>
        </w:rPr>
        <w:t xml:space="preserve"> </w:t>
      </w:r>
    </w:p>
    <w:p w:rsidR="002E2C73" w:rsidRPr="002E2C73" w:rsidRDefault="002E2C73" w:rsidP="002E2C73">
      <w:pPr>
        <w:spacing w:line="259" w:lineRule="auto"/>
        <w:ind w:right="351" w:firstLine="0"/>
        <w:jc w:val="center"/>
        <w:rPr>
          <w:rFonts w:ascii="Calibri" w:hAnsi="Calibri" w:cs="Calibri"/>
          <w:color w:val="000000"/>
          <w:sz w:val="24"/>
          <w:lang w:val="en-US"/>
        </w:rPr>
      </w:pPr>
      <w:r w:rsidRPr="002E2C73">
        <w:rPr>
          <w:rFonts w:ascii="Calibri" w:hAnsi="Calibri" w:cs="Calibri"/>
          <w:color w:val="000000"/>
          <w:sz w:val="36"/>
          <w:lang w:val="en-US"/>
        </w:rPr>
        <w:t xml:space="preserve"> </w:t>
      </w:r>
    </w:p>
    <w:p w:rsidR="002E2C73" w:rsidRPr="002E2C73" w:rsidRDefault="002E2C73" w:rsidP="002E2C73">
      <w:pPr>
        <w:spacing w:line="259" w:lineRule="auto"/>
        <w:ind w:right="360" w:firstLine="0"/>
        <w:jc w:val="center"/>
        <w:rPr>
          <w:rFonts w:ascii="Times New Roman" w:hAnsi="Times New Roman"/>
          <w:b/>
          <w:caps/>
          <w:color w:val="000000"/>
          <w:sz w:val="32"/>
          <w:szCs w:val="32"/>
          <w:lang w:val="en-US"/>
        </w:rPr>
      </w:pPr>
      <w:r w:rsidRPr="002E2C73">
        <w:rPr>
          <w:rFonts w:ascii="Calibri" w:hAnsi="Calibri" w:cs="Calibri"/>
          <w:color w:val="000000"/>
          <w:sz w:val="36"/>
          <w:lang w:val="en-US"/>
        </w:rPr>
        <w:t xml:space="preserve">  </w:t>
      </w:r>
      <w:r w:rsidRPr="002E2C73">
        <w:rPr>
          <w:rFonts w:ascii="Times New Roman" w:hAnsi="Times New Roman"/>
          <w:b/>
          <w:caps/>
          <w:color w:val="000000"/>
          <w:sz w:val="32"/>
          <w:szCs w:val="32"/>
        </w:rPr>
        <w:t>Dimitar Ivanov Velchev</w:t>
      </w:r>
      <w:r w:rsidRPr="002E2C73">
        <w:rPr>
          <w:rFonts w:ascii="Times New Roman" w:hAnsi="Times New Roman"/>
          <w:b/>
          <w:caps/>
          <w:color w:val="000000"/>
          <w:sz w:val="32"/>
          <w:szCs w:val="32"/>
          <w:lang w:val="en-US"/>
        </w:rPr>
        <w:t xml:space="preserve"> </w:t>
      </w:r>
    </w:p>
    <w:p w:rsidR="002E2C73" w:rsidRPr="002E2C73" w:rsidRDefault="002E2C73" w:rsidP="002E2C73">
      <w:pPr>
        <w:spacing w:line="259" w:lineRule="auto"/>
        <w:ind w:right="360" w:firstLine="0"/>
        <w:jc w:val="center"/>
        <w:rPr>
          <w:rFonts w:ascii="Calibri" w:hAnsi="Calibri" w:cs="Calibri"/>
          <w:color w:val="000000"/>
          <w:sz w:val="24"/>
          <w:lang w:val="en-US"/>
        </w:rPr>
      </w:pPr>
      <w:r w:rsidRPr="002E2C73">
        <w:rPr>
          <w:rFonts w:ascii="Calibri" w:hAnsi="Calibri" w:cs="Calibri"/>
          <w:b/>
          <w:color w:val="000000"/>
          <w:sz w:val="32"/>
          <w:lang w:val="en-US"/>
        </w:rPr>
        <w:t xml:space="preserve"> </w:t>
      </w:r>
    </w:p>
    <w:p w:rsidR="002E2C73" w:rsidRPr="002E2C73" w:rsidRDefault="002E2C73" w:rsidP="002E2C73">
      <w:pPr>
        <w:spacing w:line="259" w:lineRule="auto"/>
        <w:ind w:right="360" w:firstLine="0"/>
        <w:jc w:val="center"/>
        <w:rPr>
          <w:rFonts w:ascii="Calibri" w:hAnsi="Calibri" w:cs="Calibri"/>
          <w:color w:val="000000"/>
          <w:sz w:val="24"/>
          <w:lang w:val="en-US"/>
        </w:rPr>
      </w:pPr>
      <w:r w:rsidRPr="002E2C73">
        <w:rPr>
          <w:rFonts w:ascii="Calibri" w:hAnsi="Calibri" w:cs="Calibri"/>
          <w:b/>
          <w:color w:val="000000"/>
          <w:sz w:val="32"/>
          <w:lang w:val="en-US"/>
        </w:rPr>
        <w:t xml:space="preserve"> </w:t>
      </w:r>
    </w:p>
    <w:p w:rsidR="002E2C73" w:rsidRPr="002E2C73" w:rsidRDefault="002E2C73" w:rsidP="002E2C73">
      <w:pPr>
        <w:spacing w:line="259" w:lineRule="auto"/>
        <w:ind w:right="369" w:firstLine="0"/>
        <w:jc w:val="center"/>
        <w:rPr>
          <w:rFonts w:ascii="Calibri" w:hAnsi="Calibri" w:cs="Calibri"/>
          <w:color w:val="000000"/>
          <w:sz w:val="32"/>
          <w:szCs w:val="32"/>
          <w:lang w:val="en-US"/>
        </w:rPr>
      </w:pPr>
      <w:r w:rsidRPr="002E2C73">
        <w:rPr>
          <w:rFonts w:ascii="Times New Roman" w:hAnsi="Times New Roman"/>
          <w:b/>
          <w:iCs/>
          <w:sz w:val="32"/>
          <w:szCs w:val="32"/>
          <w:lang w:eastAsia="bg-BG"/>
        </w:rPr>
        <w:t xml:space="preserve">POSSIBILITIES FOR </w:t>
      </w:r>
      <w:r w:rsidR="00CF30B3" w:rsidRPr="00CF30B3">
        <w:rPr>
          <w:rFonts w:ascii="Times New Roman" w:hAnsi="Times New Roman"/>
          <w:b/>
          <w:iCs/>
          <w:sz w:val="32"/>
          <w:szCs w:val="32"/>
          <w:lang w:eastAsia="bg-BG"/>
        </w:rPr>
        <w:t>APPLYING</w:t>
      </w:r>
      <w:r w:rsidRPr="002E2C73">
        <w:rPr>
          <w:rFonts w:ascii="Times New Roman" w:hAnsi="Times New Roman"/>
          <w:b/>
          <w:iCs/>
          <w:sz w:val="32"/>
          <w:szCs w:val="32"/>
          <w:lang w:eastAsia="bg-BG"/>
        </w:rPr>
        <w:t xml:space="preserve"> BIOLOGICAL MEANS FOR MONITORING AND CONTROL OF INSECT PESTS ON MAIZE</w:t>
      </w:r>
      <w:r w:rsidRPr="002E2C73">
        <w:rPr>
          <w:rFonts w:ascii="Calibri" w:hAnsi="Calibri" w:cs="Calibri"/>
          <w:b/>
          <w:color w:val="000000"/>
          <w:sz w:val="32"/>
          <w:szCs w:val="32"/>
          <w:lang w:val="en-US"/>
        </w:rPr>
        <w:t xml:space="preserve"> </w:t>
      </w:r>
    </w:p>
    <w:p w:rsidR="002E2C73" w:rsidRPr="002E2C73" w:rsidRDefault="002E2C73" w:rsidP="002E2C73">
      <w:pPr>
        <w:spacing w:line="259" w:lineRule="auto"/>
        <w:ind w:right="369" w:firstLine="0"/>
        <w:jc w:val="center"/>
        <w:rPr>
          <w:rFonts w:ascii="Calibri" w:hAnsi="Calibri" w:cs="Calibri"/>
          <w:color w:val="000000"/>
          <w:sz w:val="24"/>
          <w:lang w:val="en-US"/>
        </w:rPr>
      </w:pPr>
      <w:r w:rsidRPr="002E2C73">
        <w:rPr>
          <w:rFonts w:ascii="Calibri" w:hAnsi="Calibri" w:cs="Calibri"/>
          <w:b/>
          <w:color w:val="000000"/>
          <w:sz w:val="28"/>
          <w:lang w:val="en-US"/>
        </w:rPr>
        <w:t xml:space="preserve"> </w:t>
      </w:r>
    </w:p>
    <w:p w:rsidR="002E2C73" w:rsidRPr="002E2C73" w:rsidRDefault="002E2C73" w:rsidP="002E2C73">
      <w:pPr>
        <w:spacing w:line="259" w:lineRule="auto"/>
        <w:ind w:right="369" w:firstLine="0"/>
        <w:jc w:val="center"/>
        <w:rPr>
          <w:rFonts w:ascii="Calibri" w:hAnsi="Calibri" w:cs="Calibri"/>
          <w:color w:val="000000"/>
          <w:sz w:val="24"/>
          <w:lang w:val="en-US"/>
        </w:rPr>
      </w:pPr>
      <w:r w:rsidRPr="002E2C73">
        <w:rPr>
          <w:rFonts w:ascii="Calibri" w:hAnsi="Calibri" w:cs="Calibri"/>
          <w:b/>
          <w:color w:val="000000"/>
          <w:sz w:val="28"/>
          <w:lang w:val="en-US"/>
        </w:rPr>
        <w:t xml:space="preserve"> </w:t>
      </w:r>
    </w:p>
    <w:p w:rsidR="002E2C73" w:rsidRPr="002E2C73" w:rsidRDefault="002E2C73" w:rsidP="002E2C73">
      <w:pPr>
        <w:spacing w:line="259" w:lineRule="auto"/>
        <w:ind w:right="369" w:firstLine="0"/>
        <w:jc w:val="center"/>
        <w:rPr>
          <w:rFonts w:ascii="Calibri" w:hAnsi="Calibri" w:cs="Calibri"/>
          <w:color w:val="000000"/>
          <w:sz w:val="24"/>
          <w:lang w:val="en-US"/>
        </w:rPr>
      </w:pPr>
      <w:r w:rsidRPr="002E2C73">
        <w:rPr>
          <w:rFonts w:ascii="Calibri" w:hAnsi="Calibri" w:cs="Calibri"/>
          <w:b/>
          <w:color w:val="000000"/>
          <w:sz w:val="28"/>
          <w:lang w:val="en-US"/>
        </w:rPr>
        <w:t xml:space="preserve"> </w:t>
      </w:r>
      <w:bookmarkStart w:id="0" w:name="_GoBack"/>
      <w:bookmarkEnd w:id="0"/>
    </w:p>
    <w:p w:rsidR="002E2C73" w:rsidRPr="002E2C73" w:rsidRDefault="002E2C73" w:rsidP="002E2C73">
      <w:pPr>
        <w:spacing w:line="259" w:lineRule="auto"/>
        <w:ind w:right="369" w:firstLine="0"/>
        <w:jc w:val="center"/>
        <w:rPr>
          <w:rFonts w:ascii="Times New Roman" w:hAnsi="Times New Roman"/>
          <w:b/>
          <w:bCs/>
          <w:color w:val="000000"/>
          <w:sz w:val="32"/>
          <w:szCs w:val="32"/>
          <w:lang w:val="en-US"/>
        </w:rPr>
      </w:pPr>
      <w:r w:rsidRPr="002E2C73">
        <w:rPr>
          <w:rFonts w:ascii="Times New Roman" w:hAnsi="Times New Roman"/>
          <w:b/>
          <w:color w:val="000000"/>
          <w:sz w:val="36"/>
          <w:szCs w:val="36"/>
          <w:lang w:val="en-US"/>
        </w:rPr>
        <w:t xml:space="preserve"> </w:t>
      </w:r>
      <w:r w:rsidRPr="002E2C73">
        <w:rPr>
          <w:rFonts w:ascii="Times New Roman" w:hAnsi="Times New Roman"/>
          <w:b/>
          <w:bCs/>
          <w:color w:val="000000"/>
          <w:sz w:val="32"/>
          <w:szCs w:val="32"/>
          <w:lang w:val="en-US"/>
        </w:rPr>
        <w:t xml:space="preserve">ABSTRACT </w:t>
      </w:r>
    </w:p>
    <w:p w:rsidR="002E2C73" w:rsidRPr="002E2C73" w:rsidRDefault="002E2C73" w:rsidP="002E2C73">
      <w:pPr>
        <w:spacing w:line="259" w:lineRule="auto"/>
        <w:ind w:right="369" w:firstLine="0"/>
        <w:jc w:val="center"/>
        <w:rPr>
          <w:rFonts w:ascii="Times New Roman" w:hAnsi="Times New Roman"/>
          <w:b/>
          <w:bCs/>
          <w:color w:val="000000"/>
          <w:sz w:val="32"/>
          <w:szCs w:val="32"/>
          <w:lang w:val="en-US"/>
        </w:rPr>
      </w:pPr>
    </w:p>
    <w:p w:rsidR="002E2C73" w:rsidRPr="002E2C73" w:rsidRDefault="002E2C73" w:rsidP="002E2C73">
      <w:pPr>
        <w:spacing w:line="259" w:lineRule="auto"/>
        <w:ind w:right="369" w:firstLine="0"/>
        <w:jc w:val="center"/>
        <w:rPr>
          <w:rFonts w:ascii="Times New Roman" w:hAnsi="Times New Roman"/>
          <w:color w:val="000000"/>
          <w:sz w:val="28"/>
          <w:szCs w:val="28"/>
          <w:lang w:val="en-US"/>
        </w:rPr>
      </w:pPr>
      <w:r w:rsidRPr="002E2C73">
        <w:rPr>
          <w:rFonts w:ascii="Times New Roman" w:hAnsi="Times New Roman"/>
          <w:bCs/>
          <w:color w:val="000000"/>
          <w:sz w:val="28"/>
          <w:szCs w:val="28"/>
        </w:rPr>
        <w:t>of a dissertation</w:t>
      </w:r>
      <w:r w:rsidRPr="002E2C73">
        <w:rPr>
          <w:rFonts w:ascii="Times New Roman" w:hAnsi="Times New Roman"/>
          <w:color w:val="000000"/>
          <w:sz w:val="28"/>
          <w:szCs w:val="28"/>
          <w:lang w:val="en-US"/>
        </w:rPr>
        <w:t xml:space="preserve"> for the acquisition of the educational and scientific degree "Doctor" (PhD)</w:t>
      </w:r>
    </w:p>
    <w:p w:rsidR="002E2C73" w:rsidRPr="002E2C73" w:rsidRDefault="002E2C73" w:rsidP="002E2C73">
      <w:pPr>
        <w:spacing w:line="259" w:lineRule="auto"/>
        <w:ind w:right="369" w:firstLine="0"/>
        <w:jc w:val="center"/>
        <w:rPr>
          <w:rFonts w:ascii="Times New Roman" w:hAnsi="Times New Roman"/>
          <w:color w:val="000000"/>
          <w:sz w:val="28"/>
          <w:szCs w:val="28"/>
          <w:lang w:val="en-US"/>
        </w:rPr>
      </w:pPr>
      <w:r w:rsidRPr="002E2C73">
        <w:rPr>
          <w:rFonts w:ascii="Times New Roman" w:hAnsi="Times New Roman"/>
          <w:bCs/>
          <w:color w:val="000000"/>
          <w:sz w:val="28"/>
          <w:szCs w:val="28"/>
          <w:lang w:val="en-US"/>
        </w:rPr>
        <w:t>Scientific Specialty:</w:t>
      </w:r>
      <w:r w:rsidRPr="002E2C73">
        <w:rPr>
          <w:rFonts w:ascii="Times New Roman" w:hAnsi="Times New Roman"/>
          <w:color w:val="000000"/>
          <w:sz w:val="28"/>
          <w:szCs w:val="28"/>
          <w:lang w:val="en-US"/>
        </w:rPr>
        <w:t xml:space="preserve"> Plant Protection (Entomology)</w:t>
      </w:r>
      <w:r w:rsidRPr="002E2C73">
        <w:rPr>
          <w:rFonts w:ascii="Times New Roman" w:hAnsi="Times New Roman"/>
          <w:color w:val="000000"/>
          <w:sz w:val="28"/>
          <w:szCs w:val="28"/>
          <w:lang w:val="en-US"/>
        </w:rPr>
        <w:br/>
      </w:r>
      <w:r w:rsidRPr="002E2C73">
        <w:rPr>
          <w:rFonts w:ascii="Times New Roman" w:hAnsi="Times New Roman"/>
          <w:bCs/>
          <w:color w:val="000000"/>
          <w:sz w:val="28"/>
          <w:szCs w:val="28"/>
          <w:lang w:val="en-US"/>
        </w:rPr>
        <w:t>Professional Field:</w:t>
      </w:r>
      <w:r w:rsidRPr="002E2C73">
        <w:rPr>
          <w:rFonts w:ascii="Times New Roman" w:hAnsi="Times New Roman"/>
          <w:color w:val="000000"/>
          <w:sz w:val="28"/>
          <w:szCs w:val="28"/>
          <w:lang w:val="en-US"/>
        </w:rPr>
        <w:t xml:space="preserve"> 6.2 Plant Protection</w:t>
      </w:r>
    </w:p>
    <w:p w:rsidR="002E2C73" w:rsidRPr="002E2C73" w:rsidRDefault="002E2C73" w:rsidP="002E2C73">
      <w:pPr>
        <w:spacing w:line="259" w:lineRule="auto"/>
        <w:ind w:right="369" w:firstLine="0"/>
        <w:jc w:val="center"/>
        <w:rPr>
          <w:rFonts w:ascii="Times New Roman" w:hAnsi="Times New Roman"/>
          <w:i/>
          <w:color w:val="000000"/>
          <w:sz w:val="28"/>
          <w:szCs w:val="28"/>
          <w:lang w:val="en-US"/>
        </w:rPr>
      </w:pPr>
    </w:p>
    <w:p w:rsidR="002E2C73" w:rsidRPr="002E2C73" w:rsidRDefault="002E2C73" w:rsidP="002E2C73">
      <w:pPr>
        <w:spacing w:line="259" w:lineRule="auto"/>
        <w:ind w:firstLine="0"/>
        <w:jc w:val="left"/>
        <w:rPr>
          <w:rFonts w:ascii="Calibri" w:hAnsi="Calibri" w:cs="Calibri"/>
          <w:b/>
          <w:color w:val="000000"/>
          <w:sz w:val="28"/>
          <w:lang w:val="en-US"/>
        </w:rPr>
      </w:pPr>
    </w:p>
    <w:p w:rsidR="002E2C73" w:rsidRPr="002E2C73" w:rsidRDefault="002E2C73" w:rsidP="002E2C73">
      <w:pPr>
        <w:spacing w:line="259" w:lineRule="auto"/>
        <w:ind w:firstLine="0"/>
        <w:jc w:val="left"/>
        <w:rPr>
          <w:rFonts w:ascii="Calibri" w:hAnsi="Calibri" w:cs="Calibri"/>
          <w:color w:val="000000"/>
          <w:sz w:val="24"/>
          <w:lang w:val="en-US"/>
        </w:rPr>
      </w:pPr>
      <w:r w:rsidRPr="002E2C73">
        <w:rPr>
          <w:rFonts w:ascii="Calibri" w:hAnsi="Calibri" w:cs="Calibri"/>
          <w:b/>
          <w:color w:val="000000"/>
          <w:sz w:val="28"/>
          <w:lang w:val="en-US"/>
        </w:rPr>
        <w:t xml:space="preserve"> </w:t>
      </w:r>
    </w:p>
    <w:p w:rsidR="002E2C73" w:rsidRPr="002E2C73" w:rsidRDefault="002E2C73" w:rsidP="002E2C73">
      <w:pPr>
        <w:spacing w:line="259" w:lineRule="auto"/>
        <w:ind w:firstLine="0"/>
        <w:jc w:val="left"/>
        <w:rPr>
          <w:rFonts w:ascii="Calibri" w:hAnsi="Calibri" w:cs="Calibri"/>
          <w:color w:val="000000"/>
          <w:sz w:val="24"/>
          <w:lang w:val="en-US"/>
        </w:rPr>
      </w:pPr>
      <w:r w:rsidRPr="002E2C73">
        <w:rPr>
          <w:rFonts w:ascii="Calibri" w:hAnsi="Calibri" w:cs="Calibri"/>
          <w:b/>
          <w:color w:val="000000"/>
          <w:sz w:val="28"/>
          <w:lang w:val="en-US"/>
        </w:rPr>
        <w:t xml:space="preserve"> </w:t>
      </w:r>
    </w:p>
    <w:p w:rsidR="002E2C73" w:rsidRPr="002E2C73" w:rsidRDefault="002E2C73" w:rsidP="002E2C73">
      <w:pPr>
        <w:spacing w:after="9" w:line="240" w:lineRule="auto"/>
        <w:ind w:hanging="720"/>
        <w:jc w:val="left"/>
        <w:rPr>
          <w:rFonts w:ascii="Calibri" w:hAnsi="Calibri" w:cs="Calibri"/>
          <w:color w:val="000000"/>
          <w:sz w:val="24"/>
          <w:lang w:val="en-US"/>
        </w:rPr>
      </w:pPr>
      <w:r w:rsidRPr="002E2C73">
        <w:rPr>
          <w:rFonts w:ascii="Calibri" w:hAnsi="Calibri" w:cs="Calibri"/>
          <w:b/>
          <w:color w:val="000000"/>
          <w:sz w:val="28"/>
          <w:lang w:val="en-US"/>
        </w:rPr>
        <w:t xml:space="preserve">    </w:t>
      </w:r>
      <w:r w:rsidRPr="002E2C73">
        <w:rPr>
          <w:rFonts w:ascii="Times New Roman" w:hAnsi="Times New Roman"/>
          <w:color w:val="000000"/>
          <w:sz w:val="28"/>
          <w:szCs w:val="28"/>
        </w:rPr>
        <w:t xml:space="preserve">       </w:t>
      </w:r>
      <w:r w:rsidRPr="002E2C73">
        <w:rPr>
          <w:rFonts w:ascii="Times New Roman" w:hAnsi="Times New Roman"/>
          <w:b/>
          <w:bCs/>
          <w:color w:val="000000"/>
          <w:sz w:val="28"/>
          <w:szCs w:val="28"/>
        </w:rPr>
        <w:t>Scientific Advisors:</w:t>
      </w:r>
      <w:r w:rsidRPr="002E2C73">
        <w:rPr>
          <w:rFonts w:ascii="Times New Roman" w:hAnsi="Times New Roman"/>
          <w:color w:val="000000"/>
          <w:sz w:val="28"/>
          <w:szCs w:val="28"/>
        </w:rPr>
        <w:t xml:space="preserve"> Prof. Olya Evtimova Karadjova, PhD</w:t>
      </w:r>
      <w:r w:rsidRPr="002E2C73">
        <w:rPr>
          <w:rFonts w:ascii="Times New Roman" w:hAnsi="Times New Roman"/>
          <w:color w:val="000000"/>
          <w:sz w:val="28"/>
          <w:szCs w:val="28"/>
        </w:rPr>
        <w:br/>
        <w:t xml:space="preserve">                                  Assoc. Prof. Teodora Borislavova Toshova, PhD</w:t>
      </w:r>
      <w:r w:rsidRPr="002E2C73">
        <w:rPr>
          <w:rFonts w:ascii="Calibri" w:hAnsi="Calibri" w:cs="Calibri"/>
          <w:color w:val="000000"/>
          <w:sz w:val="32"/>
          <w:lang w:val="en-US"/>
        </w:rPr>
        <w:t xml:space="preserve"> </w:t>
      </w:r>
    </w:p>
    <w:p w:rsidR="002E2C73" w:rsidRPr="002E2C73" w:rsidRDefault="002E2C73" w:rsidP="002E2C73">
      <w:pPr>
        <w:spacing w:line="259" w:lineRule="auto"/>
        <w:ind w:left="3121" w:firstLine="0"/>
        <w:jc w:val="left"/>
        <w:rPr>
          <w:rFonts w:ascii="Calibri" w:hAnsi="Calibri" w:cs="Calibri"/>
          <w:color w:val="000000"/>
          <w:sz w:val="24"/>
          <w:lang w:val="en-US"/>
        </w:rPr>
      </w:pPr>
      <w:r w:rsidRPr="002E2C73">
        <w:rPr>
          <w:rFonts w:ascii="Calibri" w:hAnsi="Calibri" w:cs="Calibri"/>
          <w:color w:val="000000"/>
          <w:sz w:val="32"/>
          <w:lang w:val="en-US"/>
        </w:rPr>
        <w:t xml:space="preserve"> </w:t>
      </w:r>
    </w:p>
    <w:p w:rsidR="002E2C73" w:rsidRPr="002E2C73" w:rsidRDefault="002E2C73" w:rsidP="002E2C73">
      <w:pPr>
        <w:ind w:firstLine="0"/>
        <w:rPr>
          <w:rFonts w:ascii="Times New Roman" w:hAnsi="Times New Roman"/>
          <w:sz w:val="24"/>
          <w:szCs w:val="24"/>
          <w:lang w:val="en-US"/>
        </w:rPr>
      </w:pPr>
      <w:r w:rsidRPr="002E2C73">
        <w:rPr>
          <w:rFonts w:ascii="Times New Roman" w:hAnsi="Times New Roman"/>
          <w:b/>
          <w:bCs/>
          <w:sz w:val="28"/>
          <w:szCs w:val="28"/>
          <w:lang w:val="en-US"/>
        </w:rPr>
        <w:t>Reviewers:</w:t>
      </w:r>
      <w:r w:rsidRPr="002E2C73">
        <w:rPr>
          <w:rFonts w:ascii="Times New Roman" w:hAnsi="Times New Roman"/>
          <w:sz w:val="28"/>
          <w:szCs w:val="28"/>
          <w:lang w:val="en-US"/>
        </w:rPr>
        <w:t xml:space="preserve"> </w:t>
      </w:r>
      <w:r w:rsidRPr="002E2C73">
        <w:rPr>
          <w:rFonts w:ascii="Times New Roman" w:hAnsi="Times New Roman"/>
          <w:sz w:val="24"/>
          <w:szCs w:val="24"/>
          <w:lang w:val="en-US"/>
        </w:rPr>
        <w:t>academic degree, academic rank, First Name, Middle Name, Last Name</w:t>
      </w:r>
      <w:r w:rsidRPr="002E2C73">
        <w:rPr>
          <w:rFonts w:ascii="Times New Roman" w:hAnsi="Times New Roman"/>
          <w:sz w:val="24"/>
          <w:szCs w:val="24"/>
          <w:lang w:val="en-US"/>
        </w:rPr>
        <w:br/>
        <w:t xml:space="preserve">                   </w:t>
      </w:r>
      <w:r w:rsidRPr="002E2C73">
        <w:rPr>
          <w:rFonts w:ascii="Times New Roman" w:hAnsi="Times New Roman"/>
          <w:sz w:val="24"/>
          <w:szCs w:val="24"/>
        </w:rPr>
        <w:t xml:space="preserve">    </w:t>
      </w:r>
      <w:r w:rsidRPr="002E2C73">
        <w:rPr>
          <w:rFonts w:ascii="Times New Roman" w:hAnsi="Times New Roman"/>
          <w:sz w:val="24"/>
          <w:szCs w:val="24"/>
          <w:lang w:val="en-US"/>
        </w:rPr>
        <w:t>academic degree, academic rank, First Name, Middle Name, Last Name</w:t>
      </w:r>
    </w:p>
    <w:p w:rsidR="002E2C73" w:rsidRPr="002E2C73" w:rsidRDefault="002E2C73" w:rsidP="002E2C73">
      <w:pPr>
        <w:spacing w:line="259" w:lineRule="auto"/>
        <w:ind w:left="3121" w:firstLine="0"/>
        <w:jc w:val="left"/>
        <w:rPr>
          <w:rFonts w:ascii="Calibri" w:hAnsi="Calibri" w:cs="Calibri"/>
          <w:color w:val="000000"/>
          <w:sz w:val="32"/>
          <w:lang w:val="en-US"/>
        </w:rPr>
      </w:pPr>
    </w:p>
    <w:p w:rsidR="002E2C73" w:rsidRPr="002E2C73" w:rsidRDefault="002E2C73" w:rsidP="002E2C73">
      <w:pPr>
        <w:spacing w:line="259" w:lineRule="auto"/>
        <w:ind w:firstLine="0"/>
        <w:jc w:val="left"/>
        <w:rPr>
          <w:rFonts w:ascii="Calibri" w:hAnsi="Calibri" w:cs="Calibri"/>
          <w:color w:val="000000"/>
          <w:sz w:val="24"/>
          <w:lang w:val="en-US"/>
        </w:rPr>
      </w:pPr>
    </w:p>
    <w:p w:rsidR="002E2C73" w:rsidRPr="002E2C73" w:rsidRDefault="002E2C73" w:rsidP="002E2C73">
      <w:pPr>
        <w:spacing w:line="259" w:lineRule="auto"/>
        <w:ind w:firstLine="0"/>
        <w:jc w:val="center"/>
        <w:rPr>
          <w:rFonts w:ascii="Times New Roman" w:hAnsi="Times New Roman"/>
          <w:b/>
          <w:sz w:val="32"/>
          <w:szCs w:val="32"/>
          <w:lang w:eastAsia="bg-BG"/>
        </w:rPr>
      </w:pPr>
      <w:r w:rsidRPr="002E2C73">
        <w:rPr>
          <w:rFonts w:ascii="Times New Roman" w:hAnsi="Times New Roman"/>
          <w:b/>
          <w:sz w:val="32"/>
          <w:szCs w:val="32"/>
          <w:lang w:val="en-US" w:eastAsia="bg-BG"/>
        </w:rPr>
        <w:t>Sofia</w:t>
      </w:r>
      <w:r w:rsidRPr="002E2C73">
        <w:rPr>
          <w:rFonts w:ascii="Times New Roman" w:hAnsi="Times New Roman"/>
          <w:b/>
          <w:sz w:val="32"/>
          <w:szCs w:val="32"/>
          <w:lang w:eastAsia="bg-BG"/>
        </w:rPr>
        <w:t>, 2026</w:t>
      </w:r>
    </w:p>
    <w:p w:rsidR="007F432B" w:rsidRDefault="007F432B" w:rsidP="007F432B">
      <w:pPr>
        <w:spacing w:line="259" w:lineRule="auto"/>
        <w:ind w:firstLine="0"/>
        <w:jc w:val="center"/>
        <w:rPr>
          <w:rFonts w:ascii="Times New Roman" w:hAnsi="Times New Roman"/>
          <w:b/>
          <w:sz w:val="32"/>
          <w:szCs w:val="32"/>
          <w:lang w:eastAsia="bg-BG"/>
        </w:rPr>
      </w:pPr>
    </w:p>
    <w:p w:rsidR="007F432B" w:rsidRDefault="007F432B" w:rsidP="007F432B">
      <w:pPr>
        <w:spacing w:line="259" w:lineRule="auto"/>
        <w:ind w:firstLine="0"/>
        <w:jc w:val="center"/>
        <w:rPr>
          <w:rFonts w:ascii="Calibri" w:hAnsi="Calibri" w:cs="Calibri"/>
          <w:color w:val="000000"/>
          <w:sz w:val="24"/>
          <w:lang w:val="en-US"/>
        </w:rPr>
      </w:pPr>
    </w:p>
    <w:p w:rsidR="00B320F0" w:rsidRPr="00B320F0" w:rsidRDefault="00B320F0" w:rsidP="00B320F0">
      <w:pPr>
        <w:ind w:firstLine="0"/>
        <w:rPr>
          <w:rFonts w:ascii="Times New Roman" w:hAnsi="Times New Roman"/>
          <w:sz w:val="24"/>
          <w:szCs w:val="24"/>
          <w:lang w:val="en-US"/>
        </w:rPr>
      </w:pPr>
      <w:r w:rsidRPr="00B320F0">
        <w:rPr>
          <w:rFonts w:ascii="Times New Roman" w:hAnsi="Times New Roman"/>
          <w:sz w:val="24"/>
          <w:szCs w:val="24"/>
          <w:lang w:val="en-US"/>
        </w:rPr>
        <w:t>The dissertation consists of 148 pages and includes 10 tables and 64 figures. A total of 274 literary sources were used, including 30 in Cyrillic and 244 in Latin script. The numbering of the tables and figures in this abstract does not correspond to the numbering in the dissertation.</w:t>
      </w:r>
    </w:p>
    <w:p w:rsidR="00B320F0" w:rsidRPr="00B320F0" w:rsidRDefault="00B320F0" w:rsidP="00B320F0">
      <w:pPr>
        <w:ind w:firstLine="0"/>
        <w:rPr>
          <w:rFonts w:ascii="Times New Roman" w:hAnsi="Times New Roman"/>
          <w:sz w:val="24"/>
          <w:szCs w:val="24"/>
          <w:lang w:val="en-US"/>
        </w:rPr>
      </w:pPr>
      <w:r w:rsidRPr="00B320F0">
        <w:rPr>
          <w:rFonts w:ascii="Times New Roman" w:hAnsi="Times New Roman"/>
          <w:sz w:val="24"/>
          <w:szCs w:val="24"/>
          <w:lang w:val="en-US"/>
        </w:rPr>
        <w:t>The defense of the dissertation thesis will take place on ............... at ....... h ........................................................................ at an open session of the Scientific Jury, Order No. RD ................. 2026 of the President of the Agricultural Academy.</w:t>
      </w:r>
    </w:p>
    <w:p w:rsidR="005A2912" w:rsidRDefault="005A2912" w:rsidP="00B320F0">
      <w:pPr>
        <w:ind w:firstLine="0"/>
        <w:rPr>
          <w:rFonts w:ascii="Times New Roman" w:hAnsi="Times New Roman"/>
          <w:b/>
          <w:bCs/>
          <w:sz w:val="24"/>
          <w:szCs w:val="24"/>
          <w:lang w:val="en-US"/>
        </w:rPr>
      </w:pPr>
    </w:p>
    <w:p w:rsidR="00B320F0" w:rsidRPr="00B320F0" w:rsidRDefault="00B320F0" w:rsidP="00B320F0">
      <w:pPr>
        <w:ind w:firstLine="0"/>
        <w:rPr>
          <w:rFonts w:ascii="Times New Roman" w:hAnsi="Times New Roman"/>
          <w:sz w:val="24"/>
          <w:szCs w:val="24"/>
          <w:lang w:val="en-US"/>
        </w:rPr>
      </w:pPr>
      <w:r w:rsidRPr="00B320F0">
        <w:rPr>
          <w:rFonts w:ascii="Times New Roman" w:hAnsi="Times New Roman"/>
          <w:b/>
          <w:bCs/>
          <w:sz w:val="24"/>
          <w:szCs w:val="24"/>
          <w:lang w:val="en-US"/>
        </w:rPr>
        <w:t>Scientific Jury:</w:t>
      </w:r>
    </w:p>
    <w:p w:rsidR="00B320F0" w:rsidRPr="00B320F0" w:rsidRDefault="00B320F0" w:rsidP="00B320F0">
      <w:pPr>
        <w:ind w:firstLine="0"/>
        <w:rPr>
          <w:rFonts w:ascii="Times New Roman" w:hAnsi="Times New Roman"/>
          <w:sz w:val="24"/>
          <w:szCs w:val="24"/>
          <w:lang w:val="en-US"/>
        </w:rPr>
      </w:pPr>
      <w:r w:rsidRPr="00B320F0">
        <w:rPr>
          <w:rFonts w:ascii="Times New Roman" w:hAnsi="Times New Roman"/>
          <w:bCs/>
          <w:sz w:val="24"/>
          <w:szCs w:val="24"/>
          <w:lang w:val="en-US"/>
        </w:rPr>
        <w:t>Internal Members:</w:t>
      </w:r>
    </w:p>
    <w:p w:rsidR="00B320F0" w:rsidRPr="00B320F0" w:rsidRDefault="00B320F0" w:rsidP="00B320F0">
      <w:pPr>
        <w:numPr>
          <w:ilvl w:val="0"/>
          <w:numId w:val="16"/>
        </w:numPr>
        <w:rPr>
          <w:rFonts w:ascii="Times New Roman" w:hAnsi="Times New Roman"/>
          <w:sz w:val="24"/>
          <w:szCs w:val="24"/>
          <w:lang w:val="en-US"/>
        </w:rPr>
      </w:pPr>
      <w:r w:rsidRPr="00B320F0">
        <w:rPr>
          <w:rFonts w:ascii="Times New Roman" w:hAnsi="Times New Roman"/>
          <w:sz w:val="24"/>
          <w:szCs w:val="24"/>
          <w:lang w:val="en-US"/>
        </w:rPr>
        <w:t>Assoc. Prof. Zhenya Ivanova Ilieva, PhD (Nikola Pushkarov Institute of Soil Science, Agrotechnologies and Plant Protection, A</w:t>
      </w:r>
      <w:r w:rsidR="005A2912">
        <w:rPr>
          <w:rFonts w:ascii="Times New Roman" w:hAnsi="Times New Roman"/>
          <w:sz w:val="24"/>
          <w:szCs w:val="24"/>
          <w:lang w:val="en-US"/>
        </w:rPr>
        <w:t xml:space="preserve">gricultural </w:t>
      </w:r>
      <w:r w:rsidRPr="00B320F0">
        <w:rPr>
          <w:rFonts w:ascii="Times New Roman" w:hAnsi="Times New Roman"/>
          <w:sz w:val="24"/>
          <w:szCs w:val="24"/>
          <w:lang w:val="en-US"/>
        </w:rPr>
        <w:t>A</w:t>
      </w:r>
      <w:r w:rsidR="005A2912">
        <w:rPr>
          <w:rFonts w:ascii="Times New Roman" w:hAnsi="Times New Roman"/>
          <w:sz w:val="24"/>
          <w:szCs w:val="24"/>
          <w:lang w:val="en-US"/>
        </w:rPr>
        <w:t>cademy</w:t>
      </w:r>
      <w:r w:rsidRPr="00B320F0">
        <w:rPr>
          <w:rFonts w:ascii="Times New Roman" w:hAnsi="Times New Roman"/>
          <w:sz w:val="24"/>
          <w:szCs w:val="24"/>
          <w:lang w:val="en-US"/>
        </w:rPr>
        <w:t>, Sofia)</w:t>
      </w:r>
    </w:p>
    <w:p w:rsidR="00B320F0" w:rsidRPr="00B320F0" w:rsidRDefault="00B320F0" w:rsidP="00B320F0">
      <w:pPr>
        <w:numPr>
          <w:ilvl w:val="0"/>
          <w:numId w:val="16"/>
        </w:numPr>
        <w:rPr>
          <w:rFonts w:ascii="Times New Roman" w:hAnsi="Times New Roman"/>
          <w:sz w:val="24"/>
          <w:szCs w:val="24"/>
          <w:lang w:val="en-US"/>
        </w:rPr>
      </w:pPr>
      <w:r w:rsidRPr="00B320F0">
        <w:rPr>
          <w:rFonts w:ascii="Times New Roman" w:hAnsi="Times New Roman"/>
          <w:sz w:val="24"/>
          <w:szCs w:val="24"/>
          <w:lang w:val="en-US"/>
        </w:rPr>
        <w:t>Assoc. Prof. Vasilina Dimcheva Maneva, PhD (Institute of Agriculture, Karnobat,</w:t>
      </w:r>
      <w:r w:rsidR="005A2912" w:rsidRPr="00B320F0">
        <w:rPr>
          <w:rFonts w:ascii="Times New Roman" w:hAnsi="Times New Roman"/>
          <w:sz w:val="24"/>
          <w:szCs w:val="24"/>
          <w:lang w:val="en-US"/>
        </w:rPr>
        <w:t xml:space="preserve"> A</w:t>
      </w:r>
      <w:r w:rsidR="005A2912">
        <w:rPr>
          <w:rFonts w:ascii="Times New Roman" w:hAnsi="Times New Roman"/>
          <w:sz w:val="24"/>
          <w:szCs w:val="24"/>
          <w:lang w:val="en-US"/>
        </w:rPr>
        <w:t xml:space="preserve">gricultural </w:t>
      </w:r>
      <w:r w:rsidR="005A2912" w:rsidRPr="00B320F0">
        <w:rPr>
          <w:rFonts w:ascii="Times New Roman" w:hAnsi="Times New Roman"/>
          <w:sz w:val="24"/>
          <w:szCs w:val="24"/>
          <w:lang w:val="en-US"/>
        </w:rPr>
        <w:t>A</w:t>
      </w:r>
      <w:r w:rsidR="005A2912">
        <w:rPr>
          <w:rFonts w:ascii="Times New Roman" w:hAnsi="Times New Roman"/>
          <w:sz w:val="24"/>
          <w:szCs w:val="24"/>
          <w:lang w:val="en-US"/>
        </w:rPr>
        <w:t>cademy</w:t>
      </w:r>
      <w:r w:rsidRPr="00B320F0">
        <w:rPr>
          <w:rFonts w:ascii="Times New Roman" w:hAnsi="Times New Roman"/>
          <w:sz w:val="24"/>
          <w:szCs w:val="24"/>
          <w:lang w:val="en-US"/>
        </w:rPr>
        <w:t>)</w:t>
      </w:r>
    </w:p>
    <w:p w:rsidR="00B320F0" w:rsidRPr="00B320F0" w:rsidRDefault="00B320F0" w:rsidP="00B320F0">
      <w:pPr>
        <w:ind w:firstLine="0"/>
        <w:rPr>
          <w:rFonts w:ascii="Times New Roman" w:hAnsi="Times New Roman"/>
          <w:sz w:val="24"/>
          <w:szCs w:val="24"/>
          <w:lang w:val="en-US"/>
        </w:rPr>
      </w:pPr>
      <w:r w:rsidRPr="00B320F0">
        <w:rPr>
          <w:rFonts w:ascii="Times New Roman" w:hAnsi="Times New Roman"/>
          <w:bCs/>
          <w:sz w:val="24"/>
          <w:szCs w:val="24"/>
          <w:lang w:val="en-US"/>
        </w:rPr>
        <w:t>External Members:</w:t>
      </w:r>
    </w:p>
    <w:p w:rsidR="00B320F0" w:rsidRPr="00B320F0" w:rsidRDefault="00B320F0" w:rsidP="00B320F0">
      <w:pPr>
        <w:numPr>
          <w:ilvl w:val="0"/>
          <w:numId w:val="17"/>
        </w:numPr>
        <w:rPr>
          <w:rFonts w:ascii="Times New Roman" w:hAnsi="Times New Roman"/>
          <w:sz w:val="24"/>
          <w:szCs w:val="24"/>
          <w:lang w:val="en-US"/>
        </w:rPr>
      </w:pPr>
      <w:r w:rsidRPr="00B320F0">
        <w:rPr>
          <w:rFonts w:ascii="Times New Roman" w:hAnsi="Times New Roman"/>
          <w:sz w:val="24"/>
          <w:szCs w:val="24"/>
          <w:lang w:val="en-US"/>
        </w:rPr>
        <w:t>Cor. Mem. Prof. Georgi Tsvetkov Georgiev, DSc (Forest Research Institute, BAS, Sofia)</w:t>
      </w:r>
    </w:p>
    <w:p w:rsidR="00B320F0" w:rsidRPr="00B320F0" w:rsidRDefault="00B320F0" w:rsidP="00B320F0">
      <w:pPr>
        <w:numPr>
          <w:ilvl w:val="0"/>
          <w:numId w:val="17"/>
        </w:numPr>
        <w:rPr>
          <w:rFonts w:ascii="Times New Roman" w:hAnsi="Times New Roman"/>
          <w:sz w:val="24"/>
          <w:szCs w:val="24"/>
          <w:lang w:val="en-US"/>
        </w:rPr>
      </w:pPr>
      <w:r w:rsidRPr="00B320F0">
        <w:rPr>
          <w:rFonts w:ascii="Times New Roman" w:hAnsi="Times New Roman"/>
          <w:sz w:val="24"/>
          <w:szCs w:val="24"/>
          <w:lang w:val="en-US"/>
        </w:rPr>
        <w:t>Assoc. Prof. Katya Georgieva Trencheva, PhD (University of Forestry, Sofia)</w:t>
      </w:r>
    </w:p>
    <w:p w:rsidR="00B320F0" w:rsidRPr="00B320F0" w:rsidRDefault="00B320F0" w:rsidP="00B320F0">
      <w:pPr>
        <w:numPr>
          <w:ilvl w:val="0"/>
          <w:numId w:val="17"/>
        </w:numPr>
        <w:rPr>
          <w:rFonts w:ascii="Times New Roman" w:hAnsi="Times New Roman"/>
          <w:sz w:val="24"/>
          <w:szCs w:val="24"/>
          <w:lang w:val="en-US"/>
        </w:rPr>
      </w:pPr>
      <w:r w:rsidRPr="00B320F0">
        <w:rPr>
          <w:rFonts w:ascii="Times New Roman" w:hAnsi="Times New Roman"/>
          <w:sz w:val="24"/>
          <w:szCs w:val="24"/>
          <w:lang w:val="en-US"/>
        </w:rPr>
        <w:t>Assoc. Prof. Dima Mateeva Markova, PhD (Agricultural University, Plovdiv)</w:t>
      </w:r>
    </w:p>
    <w:p w:rsidR="005A2912" w:rsidRDefault="005A2912" w:rsidP="00B320F0">
      <w:pPr>
        <w:ind w:firstLine="0"/>
        <w:rPr>
          <w:rFonts w:ascii="Times New Roman" w:hAnsi="Times New Roman"/>
          <w:bCs/>
          <w:sz w:val="24"/>
          <w:szCs w:val="24"/>
          <w:lang w:val="en-US"/>
        </w:rPr>
      </w:pPr>
    </w:p>
    <w:p w:rsidR="00B320F0" w:rsidRPr="00B320F0" w:rsidRDefault="00B320F0" w:rsidP="00B320F0">
      <w:pPr>
        <w:ind w:firstLine="0"/>
        <w:rPr>
          <w:rFonts w:ascii="Times New Roman" w:hAnsi="Times New Roman"/>
          <w:sz w:val="24"/>
          <w:szCs w:val="24"/>
          <w:lang w:val="en-US"/>
        </w:rPr>
      </w:pPr>
      <w:r w:rsidRPr="00B320F0">
        <w:rPr>
          <w:rFonts w:ascii="Times New Roman" w:hAnsi="Times New Roman"/>
          <w:bCs/>
          <w:sz w:val="24"/>
          <w:szCs w:val="24"/>
          <w:lang w:val="en-US"/>
        </w:rPr>
        <w:t>Alternate Members:</w:t>
      </w:r>
    </w:p>
    <w:p w:rsidR="00B320F0" w:rsidRPr="00B320F0" w:rsidRDefault="00B320F0" w:rsidP="00B320F0">
      <w:pPr>
        <w:numPr>
          <w:ilvl w:val="0"/>
          <w:numId w:val="18"/>
        </w:numPr>
        <w:rPr>
          <w:rFonts w:ascii="Times New Roman" w:hAnsi="Times New Roman"/>
          <w:sz w:val="24"/>
          <w:szCs w:val="24"/>
          <w:lang w:val="en-US"/>
        </w:rPr>
      </w:pPr>
      <w:r w:rsidRPr="00B320F0">
        <w:rPr>
          <w:rFonts w:ascii="Times New Roman" w:hAnsi="Times New Roman"/>
          <w:sz w:val="24"/>
          <w:szCs w:val="24"/>
          <w:lang w:val="en-US"/>
        </w:rPr>
        <w:t>Assoc. Prof. Mariya Ivanova Stoyanova, PhD (Nikola Pushkarov Institute of Soil Science, Agrotechnologies and Plant Protection, AA, Sofia) – internal member</w:t>
      </w:r>
    </w:p>
    <w:p w:rsidR="00B320F0" w:rsidRPr="00B320F0" w:rsidRDefault="00B320F0" w:rsidP="00B320F0">
      <w:pPr>
        <w:numPr>
          <w:ilvl w:val="0"/>
          <w:numId w:val="18"/>
        </w:numPr>
        <w:rPr>
          <w:rFonts w:ascii="Times New Roman" w:hAnsi="Times New Roman"/>
          <w:sz w:val="24"/>
          <w:szCs w:val="24"/>
          <w:lang w:val="en-US"/>
        </w:rPr>
      </w:pPr>
      <w:r w:rsidRPr="00B320F0">
        <w:rPr>
          <w:rFonts w:ascii="Times New Roman" w:hAnsi="Times New Roman"/>
          <w:sz w:val="24"/>
          <w:szCs w:val="24"/>
          <w:lang w:val="en-US"/>
        </w:rPr>
        <w:t>Assoc. Prof. Albena Georgieva Gyonova, PhD (Sofia University "St. Kliment Ohridski", Faculty of Biology, Sofia) – external member</w:t>
      </w:r>
    </w:p>
    <w:p w:rsidR="00B320F0" w:rsidRDefault="00B320F0" w:rsidP="00B320F0">
      <w:pPr>
        <w:ind w:firstLine="0"/>
        <w:rPr>
          <w:rFonts w:ascii="Times New Roman" w:hAnsi="Times New Roman"/>
          <w:sz w:val="24"/>
          <w:szCs w:val="24"/>
          <w:lang w:val="en-US"/>
        </w:rPr>
      </w:pPr>
    </w:p>
    <w:p w:rsidR="00B320F0" w:rsidRDefault="00B320F0" w:rsidP="00B320F0">
      <w:pPr>
        <w:ind w:firstLine="0"/>
        <w:rPr>
          <w:rFonts w:ascii="Times New Roman" w:hAnsi="Times New Roman"/>
          <w:sz w:val="24"/>
          <w:szCs w:val="24"/>
          <w:lang w:val="en-US"/>
        </w:rPr>
      </w:pPr>
    </w:p>
    <w:p w:rsidR="00B320F0" w:rsidRDefault="00B320F0" w:rsidP="00B320F0">
      <w:pPr>
        <w:ind w:firstLine="0"/>
        <w:rPr>
          <w:rFonts w:ascii="Times New Roman" w:hAnsi="Times New Roman"/>
          <w:sz w:val="24"/>
          <w:szCs w:val="24"/>
          <w:lang w:val="en-US"/>
        </w:rPr>
      </w:pPr>
    </w:p>
    <w:p w:rsidR="00B320F0" w:rsidRDefault="00B320F0" w:rsidP="00B320F0">
      <w:pPr>
        <w:ind w:firstLine="0"/>
        <w:rPr>
          <w:rFonts w:ascii="Times New Roman" w:hAnsi="Times New Roman"/>
          <w:sz w:val="24"/>
          <w:szCs w:val="24"/>
          <w:lang w:val="en-US"/>
        </w:rPr>
      </w:pPr>
    </w:p>
    <w:p w:rsidR="00B320F0" w:rsidRDefault="00B320F0" w:rsidP="00B320F0">
      <w:pPr>
        <w:ind w:firstLine="0"/>
        <w:rPr>
          <w:rFonts w:ascii="Times New Roman" w:hAnsi="Times New Roman"/>
          <w:sz w:val="24"/>
          <w:szCs w:val="24"/>
          <w:lang w:val="en-US"/>
        </w:rPr>
      </w:pPr>
    </w:p>
    <w:p w:rsidR="00B320F0" w:rsidRDefault="00B320F0" w:rsidP="00B320F0">
      <w:pPr>
        <w:ind w:firstLine="0"/>
        <w:rPr>
          <w:rFonts w:ascii="Times New Roman" w:hAnsi="Times New Roman"/>
          <w:sz w:val="24"/>
          <w:szCs w:val="24"/>
          <w:lang w:val="en-US"/>
        </w:rPr>
      </w:pPr>
    </w:p>
    <w:p w:rsidR="00B320F0" w:rsidRDefault="00B320F0" w:rsidP="00B320F0">
      <w:pPr>
        <w:ind w:firstLine="0"/>
        <w:rPr>
          <w:rFonts w:ascii="Times New Roman" w:hAnsi="Times New Roman"/>
          <w:sz w:val="24"/>
          <w:szCs w:val="24"/>
          <w:lang w:val="en-US"/>
        </w:rPr>
      </w:pPr>
    </w:p>
    <w:p w:rsidR="00B320F0" w:rsidRDefault="00B320F0" w:rsidP="00B320F0">
      <w:pPr>
        <w:ind w:firstLine="0"/>
        <w:jc w:val="center"/>
        <w:rPr>
          <w:rFonts w:ascii="Times New Roman" w:hAnsi="Times New Roman"/>
          <w:b/>
          <w:bCs/>
          <w:sz w:val="24"/>
          <w:szCs w:val="24"/>
          <w:lang w:val="en-US"/>
        </w:rPr>
      </w:pPr>
      <w:r w:rsidRPr="00B320F0">
        <w:rPr>
          <w:rFonts w:ascii="Times New Roman" w:hAnsi="Times New Roman"/>
          <w:b/>
          <w:bCs/>
          <w:sz w:val="24"/>
          <w:szCs w:val="24"/>
          <w:lang w:val="en-US"/>
        </w:rPr>
        <w:lastRenderedPageBreak/>
        <w:t>List of Abbreviations and Symbols</w:t>
      </w:r>
    </w:p>
    <w:p w:rsidR="0007611C" w:rsidRPr="00B320F0" w:rsidRDefault="0007611C" w:rsidP="00B320F0">
      <w:pPr>
        <w:ind w:firstLine="0"/>
        <w:jc w:val="center"/>
        <w:rPr>
          <w:rFonts w:ascii="Times New Roman" w:hAnsi="Times New Roman"/>
          <w:sz w:val="24"/>
          <w:szCs w:val="24"/>
          <w:lang w:val="en-US"/>
        </w:rPr>
      </w:pPr>
    </w:p>
    <w:p w:rsidR="00B320F0" w:rsidRPr="001A2D0A" w:rsidRDefault="00B320F0" w:rsidP="00B320F0">
      <w:pPr>
        <w:ind w:firstLine="0"/>
        <w:rPr>
          <w:rFonts w:ascii="Times New Roman" w:hAnsi="Times New Roman"/>
          <w:sz w:val="28"/>
          <w:szCs w:val="28"/>
          <w:lang w:val="en-US"/>
        </w:rPr>
      </w:pPr>
      <w:r w:rsidRPr="001A2D0A">
        <w:rPr>
          <w:rFonts w:ascii="Times New Roman" w:hAnsi="Times New Roman"/>
          <w:bCs/>
          <w:sz w:val="28"/>
          <w:szCs w:val="28"/>
          <w:lang w:val="en-US"/>
        </w:rPr>
        <w:t>BFSA</w:t>
      </w:r>
      <w:r w:rsidRPr="001A2D0A">
        <w:rPr>
          <w:rFonts w:ascii="Times New Roman" w:hAnsi="Times New Roman"/>
          <w:sz w:val="28"/>
          <w:szCs w:val="28"/>
          <w:lang w:val="en-US"/>
        </w:rPr>
        <w:t xml:space="preserve"> – Bulgarian Food Safety Agency</w:t>
      </w:r>
    </w:p>
    <w:p w:rsidR="00B320F0" w:rsidRPr="001A2D0A" w:rsidRDefault="00B320F0" w:rsidP="00B320F0">
      <w:pPr>
        <w:ind w:firstLine="0"/>
        <w:rPr>
          <w:rFonts w:ascii="Times New Roman" w:hAnsi="Times New Roman"/>
          <w:sz w:val="28"/>
          <w:szCs w:val="28"/>
          <w:lang w:val="en-US"/>
        </w:rPr>
      </w:pPr>
      <w:r w:rsidRPr="001A2D0A">
        <w:rPr>
          <w:rFonts w:ascii="Times New Roman" w:hAnsi="Times New Roman"/>
          <w:bCs/>
          <w:sz w:val="28"/>
          <w:szCs w:val="28"/>
          <w:lang w:val="en-US"/>
        </w:rPr>
        <w:t>CI</w:t>
      </w:r>
      <w:r w:rsidR="008938B6">
        <w:rPr>
          <w:rFonts w:ascii="Times New Roman" w:hAnsi="Times New Roman"/>
          <w:bCs/>
          <w:sz w:val="28"/>
          <w:szCs w:val="28"/>
          <w:lang w:val="en-US"/>
        </w:rPr>
        <w:t>s</w:t>
      </w:r>
      <w:r w:rsidRPr="001A2D0A">
        <w:rPr>
          <w:rFonts w:ascii="Times New Roman" w:hAnsi="Times New Roman"/>
          <w:sz w:val="28"/>
          <w:szCs w:val="28"/>
          <w:lang w:val="en-US"/>
        </w:rPr>
        <w:t xml:space="preserve"> – Confidence Intervals</w:t>
      </w:r>
    </w:p>
    <w:p w:rsidR="00DC1BB9" w:rsidRDefault="00DC1BB9" w:rsidP="00B320F0">
      <w:pPr>
        <w:ind w:firstLine="0"/>
        <w:rPr>
          <w:rFonts w:ascii="Times New Roman" w:hAnsi="Times New Roman"/>
          <w:bCs/>
          <w:sz w:val="28"/>
          <w:szCs w:val="28"/>
          <w:lang w:val="en-US"/>
        </w:rPr>
      </w:pPr>
      <w:r w:rsidRPr="001A2D0A">
        <w:rPr>
          <w:rFonts w:ascii="Times New Roman" w:hAnsi="Times New Roman"/>
          <w:bCs/>
          <w:sz w:val="28"/>
          <w:szCs w:val="28"/>
          <w:lang w:val="en-US"/>
        </w:rPr>
        <w:t>EIL</w:t>
      </w:r>
      <w:r w:rsidRPr="001A2D0A">
        <w:rPr>
          <w:rFonts w:ascii="Times New Roman" w:hAnsi="Times New Roman"/>
          <w:sz w:val="28"/>
          <w:szCs w:val="28"/>
          <w:lang w:val="en-US"/>
        </w:rPr>
        <w:t xml:space="preserve"> – Economic Injury Level</w:t>
      </w:r>
    </w:p>
    <w:p w:rsidR="00B320F0" w:rsidRPr="001A2D0A" w:rsidRDefault="00B320F0" w:rsidP="00B320F0">
      <w:pPr>
        <w:ind w:firstLine="0"/>
        <w:rPr>
          <w:rFonts w:ascii="Times New Roman" w:hAnsi="Times New Roman"/>
          <w:sz w:val="28"/>
          <w:szCs w:val="28"/>
          <w:lang w:val="en-US"/>
        </w:rPr>
      </w:pPr>
      <w:r w:rsidRPr="001A2D0A">
        <w:rPr>
          <w:rFonts w:ascii="Times New Roman" w:hAnsi="Times New Roman"/>
          <w:bCs/>
          <w:sz w:val="28"/>
          <w:szCs w:val="28"/>
          <w:lang w:val="en-US"/>
        </w:rPr>
        <w:t>EO</w:t>
      </w:r>
      <w:r w:rsidRPr="001A2D0A">
        <w:rPr>
          <w:rFonts w:ascii="Times New Roman" w:hAnsi="Times New Roman"/>
          <w:sz w:val="28"/>
          <w:szCs w:val="28"/>
          <w:lang w:val="en-US"/>
        </w:rPr>
        <w:t xml:space="preserve"> – Essential oil or essential oils (depending on the context)</w:t>
      </w:r>
    </w:p>
    <w:p w:rsidR="00DC1BB9" w:rsidRDefault="00DC1BB9" w:rsidP="00B320F0">
      <w:pPr>
        <w:ind w:firstLine="0"/>
        <w:rPr>
          <w:rFonts w:ascii="Times New Roman" w:hAnsi="Times New Roman"/>
          <w:bCs/>
          <w:sz w:val="28"/>
          <w:szCs w:val="28"/>
          <w:lang w:val="en-US"/>
        </w:rPr>
      </w:pPr>
      <w:r>
        <w:rPr>
          <w:rFonts w:ascii="Times New Roman" w:hAnsi="Times New Roman"/>
          <w:bCs/>
          <w:sz w:val="28"/>
          <w:szCs w:val="28"/>
          <w:lang w:val="en-US"/>
        </w:rPr>
        <w:t xml:space="preserve">IPM </w:t>
      </w:r>
      <w:r w:rsidRPr="00DC1BB9">
        <w:rPr>
          <w:rFonts w:ascii="Times New Roman" w:hAnsi="Times New Roman"/>
          <w:bCs/>
          <w:sz w:val="28"/>
          <w:szCs w:val="28"/>
          <w:lang w:val="en-US"/>
        </w:rPr>
        <w:t>–</w:t>
      </w:r>
      <w:r>
        <w:rPr>
          <w:rFonts w:ascii="Times New Roman" w:hAnsi="Times New Roman"/>
          <w:bCs/>
          <w:sz w:val="28"/>
          <w:szCs w:val="28"/>
          <w:lang w:val="en-US"/>
        </w:rPr>
        <w:t xml:space="preserve"> </w:t>
      </w:r>
      <w:r w:rsidRPr="00DC1BB9">
        <w:rPr>
          <w:rFonts w:ascii="Times New Roman" w:hAnsi="Times New Roman"/>
          <w:bCs/>
          <w:sz w:val="28"/>
          <w:szCs w:val="28"/>
          <w:lang w:val="en-US"/>
        </w:rPr>
        <w:t>Integrated Pest Management</w:t>
      </w:r>
      <w:r>
        <w:rPr>
          <w:rFonts w:ascii="Times New Roman" w:hAnsi="Times New Roman"/>
          <w:bCs/>
          <w:sz w:val="28"/>
          <w:szCs w:val="28"/>
          <w:lang w:val="en-US"/>
        </w:rPr>
        <w:t xml:space="preserve"> </w:t>
      </w:r>
    </w:p>
    <w:p w:rsidR="00B320F0" w:rsidRPr="001A2D0A" w:rsidRDefault="005A2912" w:rsidP="00B320F0">
      <w:pPr>
        <w:ind w:firstLine="0"/>
        <w:rPr>
          <w:rFonts w:ascii="Times New Roman" w:hAnsi="Times New Roman"/>
          <w:sz w:val="28"/>
          <w:szCs w:val="28"/>
          <w:lang w:val="en-US"/>
        </w:rPr>
      </w:pPr>
      <w:r w:rsidRPr="001A2D0A">
        <w:rPr>
          <w:rFonts w:ascii="Times New Roman" w:hAnsi="Times New Roman"/>
          <w:bCs/>
          <w:sz w:val="28"/>
          <w:szCs w:val="28"/>
          <w:lang w:val="en-US"/>
        </w:rPr>
        <w:t>M</w:t>
      </w:r>
      <w:r>
        <w:rPr>
          <w:rFonts w:ascii="Times New Roman" w:hAnsi="Times New Roman"/>
          <w:bCs/>
          <w:sz w:val="28"/>
          <w:szCs w:val="28"/>
          <w:lang w:val="en-US"/>
        </w:rPr>
        <w:t>R</w:t>
      </w:r>
      <w:r w:rsidRPr="001A2D0A">
        <w:rPr>
          <w:rFonts w:ascii="Times New Roman" w:hAnsi="Times New Roman"/>
          <w:bCs/>
          <w:sz w:val="28"/>
          <w:szCs w:val="28"/>
          <w:lang w:val="en-US"/>
        </w:rPr>
        <w:t>I</w:t>
      </w:r>
      <w:r w:rsidRPr="001A2D0A">
        <w:rPr>
          <w:rFonts w:ascii="Times New Roman" w:hAnsi="Times New Roman"/>
          <w:sz w:val="28"/>
          <w:szCs w:val="28"/>
          <w:lang w:val="en-US"/>
        </w:rPr>
        <w:t xml:space="preserve"> </w:t>
      </w:r>
      <w:r w:rsidR="00B320F0" w:rsidRPr="001A2D0A">
        <w:rPr>
          <w:rFonts w:ascii="Times New Roman" w:hAnsi="Times New Roman"/>
          <w:sz w:val="28"/>
          <w:szCs w:val="28"/>
          <w:lang w:val="en-US"/>
        </w:rPr>
        <w:t>– Maize Research Institute</w:t>
      </w:r>
    </w:p>
    <w:p w:rsidR="00DC1BB9" w:rsidRPr="00B8090A" w:rsidRDefault="00DC1BB9" w:rsidP="00DC1BB9">
      <w:pPr>
        <w:ind w:firstLine="0"/>
        <w:rPr>
          <w:rFonts w:ascii="Times New Roman" w:hAnsi="Times New Roman"/>
          <w:bCs/>
          <w:sz w:val="28"/>
          <w:szCs w:val="28"/>
          <w:lang w:val="en-US"/>
        </w:rPr>
      </w:pPr>
      <w:r w:rsidRPr="00B8090A">
        <w:rPr>
          <w:rFonts w:ascii="Times New Roman" w:hAnsi="Times New Roman"/>
          <w:bCs/>
          <w:sz w:val="28"/>
          <w:szCs w:val="28"/>
        </w:rPr>
        <w:t>(±)-</w:t>
      </w:r>
      <w:r>
        <w:rPr>
          <w:rFonts w:ascii="Times New Roman" w:hAnsi="Times New Roman"/>
          <w:bCs/>
          <w:sz w:val="28"/>
          <w:szCs w:val="28"/>
          <w:lang w:val="en-US"/>
        </w:rPr>
        <w:t>linalool</w:t>
      </w:r>
      <w:r w:rsidRPr="00B8090A">
        <w:rPr>
          <w:rFonts w:ascii="Times New Roman" w:hAnsi="Times New Roman"/>
          <w:bCs/>
          <w:sz w:val="28"/>
          <w:szCs w:val="28"/>
        </w:rPr>
        <w:t xml:space="preserve"> – </w:t>
      </w:r>
      <w:r>
        <w:rPr>
          <w:rFonts w:ascii="Times New Roman" w:hAnsi="Times New Roman"/>
          <w:bCs/>
          <w:sz w:val="28"/>
          <w:szCs w:val="28"/>
          <w:lang w:val="en-US"/>
        </w:rPr>
        <w:t>linalool</w:t>
      </w:r>
    </w:p>
    <w:p w:rsidR="00B320F0" w:rsidRPr="001A2D0A" w:rsidRDefault="00DC1BB9" w:rsidP="00B320F0">
      <w:pPr>
        <w:ind w:firstLine="0"/>
        <w:rPr>
          <w:rFonts w:ascii="Times New Roman" w:hAnsi="Times New Roman"/>
          <w:sz w:val="28"/>
          <w:szCs w:val="28"/>
          <w:lang w:val="en-US"/>
        </w:rPr>
      </w:pPr>
      <w:r>
        <w:rPr>
          <w:rFonts w:ascii="Times New Roman" w:hAnsi="Times New Roman"/>
          <w:bCs/>
          <w:sz w:val="28"/>
          <w:szCs w:val="28"/>
          <w:lang w:val="en-US"/>
        </w:rPr>
        <w:t>n</w:t>
      </w:r>
      <w:r w:rsidRPr="001A2D0A">
        <w:rPr>
          <w:rFonts w:ascii="Times New Roman" w:hAnsi="Times New Roman"/>
          <w:bCs/>
          <w:sz w:val="28"/>
          <w:szCs w:val="28"/>
          <w:lang w:val="en-US"/>
        </w:rPr>
        <w:t>onanal</w:t>
      </w:r>
      <w:r w:rsidRPr="001A2D0A">
        <w:rPr>
          <w:rFonts w:ascii="Times New Roman" w:hAnsi="Times New Roman"/>
          <w:sz w:val="28"/>
          <w:szCs w:val="28"/>
          <w:lang w:val="en-US"/>
        </w:rPr>
        <w:t xml:space="preserve"> </w:t>
      </w:r>
      <w:r w:rsidR="00B320F0" w:rsidRPr="001A2D0A">
        <w:rPr>
          <w:rFonts w:ascii="Times New Roman" w:hAnsi="Times New Roman"/>
          <w:sz w:val="28"/>
          <w:szCs w:val="28"/>
          <w:lang w:val="en-US"/>
        </w:rPr>
        <w:t>– 9Al</w:t>
      </w:r>
    </w:p>
    <w:p w:rsidR="00B320F0" w:rsidRPr="001A2D0A" w:rsidRDefault="00B320F0" w:rsidP="00B320F0">
      <w:pPr>
        <w:ind w:firstLine="0"/>
        <w:rPr>
          <w:rFonts w:ascii="Times New Roman" w:hAnsi="Times New Roman"/>
          <w:sz w:val="28"/>
          <w:szCs w:val="28"/>
          <w:lang w:val="en-US"/>
        </w:rPr>
      </w:pPr>
      <w:r w:rsidRPr="001A2D0A">
        <w:rPr>
          <w:rFonts w:ascii="Times New Roman" w:hAnsi="Times New Roman"/>
          <w:bCs/>
          <w:sz w:val="28"/>
          <w:szCs w:val="28"/>
          <w:lang w:val="en-US"/>
        </w:rPr>
        <w:t>(</w:t>
      </w:r>
      <w:r w:rsidRPr="00BF6A3C">
        <w:rPr>
          <w:rFonts w:ascii="Times New Roman" w:hAnsi="Times New Roman"/>
          <w:bCs/>
          <w:i/>
          <w:sz w:val="28"/>
          <w:szCs w:val="28"/>
          <w:lang w:val="en-US"/>
        </w:rPr>
        <w:t>E</w:t>
      </w:r>
      <w:r w:rsidRPr="001A2D0A">
        <w:rPr>
          <w:rFonts w:ascii="Times New Roman" w:hAnsi="Times New Roman"/>
          <w:bCs/>
          <w:sz w:val="28"/>
          <w:szCs w:val="28"/>
          <w:lang w:val="en-US"/>
        </w:rPr>
        <w:t>)-2-</w:t>
      </w:r>
      <w:r w:rsidR="00DC1BB9">
        <w:rPr>
          <w:rFonts w:ascii="Times New Roman" w:hAnsi="Times New Roman"/>
          <w:bCs/>
          <w:sz w:val="28"/>
          <w:szCs w:val="28"/>
          <w:lang w:val="en-US"/>
        </w:rPr>
        <w:t>h</w:t>
      </w:r>
      <w:r w:rsidR="00DC1BB9" w:rsidRPr="001A2D0A">
        <w:rPr>
          <w:rFonts w:ascii="Times New Roman" w:hAnsi="Times New Roman"/>
          <w:bCs/>
          <w:sz w:val="28"/>
          <w:szCs w:val="28"/>
          <w:lang w:val="en-US"/>
        </w:rPr>
        <w:t>exen</w:t>
      </w:r>
      <w:r w:rsidRPr="001A2D0A">
        <w:rPr>
          <w:rFonts w:ascii="Times New Roman" w:hAnsi="Times New Roman"/>
          <w:bCs/>
          <w:sz w:val="28"/>
          <w:szCs w:val="28"/>
          <w:lang w:val="en-US"/>
        </w:rPr>
        <w:t>-1-ol</w:t>
      </w:r>
      <w:r w:rsidRPr="001A2D0A">
        <w:rPr>
          <w:rFonts w:ascii="Times New Roman" w:hAnsi="Times New Roman"/>
          <w:sz w:val="28"/>
          <w:szCs w:val="28"/>
          <w:lang w:val="en-US"/>
        </w:rPr>
        <w:t xml:space="preserve"> – E2-6OH</w:t>
      </w:r>
    </w:p>
    <w:p w:rsidR="00B320F0" w:rsidRPr="001A2D0A" w:rsidRDefault="00B320F0" w:rsidP="00B320F0">
      <w:pPr>
        <w:ind w:firstLine="0"/>
        <w:rPr>
          <w:rFonts w:ascii="Times New Roman" w:hAnsi="Times New Roman"/>
          <w:sz w:val="28"/>
          <w:szCs w:val="28"/>
          <w:lang w:val="en-US"/>
        </w:rPr>
      </w:pPr>
      <w:r w:rsidRPr="001A2D0A">
        <w:rPr>
          <w:rFonts w:ascii="Times New Roman" w:hAnsi="Times New Roman"/>
          <w:bCs/>
          <w:sz w:val="28"/>
          <w:szCs w:val="28"/>
          <w:lang w:val="en-US"/>
        </w:rPr>
        <w:t>(</w:t>
      </w:r>
      <w:r w:rsidRPr="00BF6A3C">
        <w:rPr>
          <w:rFonts w:ascii="Times New Roman" w:hAnsi="Times New Roman"/>
          <w:bCs/>
          <w:i/>
          <w:sz w:val="28"/>
          <w:szCs w:val="28"/>
          <w:lang w:val="en-US"/>
        </w:rPr>
        <w:t>Z</w:t>
      </w:r>
      <w:r w:rsidRPr="001A2D0A">
        <w:rPr>
          <w:rFonts w:ascii="Times New Roman" w:hAnsi="Times New Roman"/>
          <w:bCs/>
          <w:sz w:val="28"/>
          <w:szCs w:val="28"/>
          <w:lang w:val="en-US"/>
        </w:rPr>
        <w:t>)-3-</w:t>
      </w:r>
      <w:r w:rsidR="00DC1BB9">
        <w:rPr>
          <w:rFonts w:ascii="Times New Roman" w:hAnsi="Times New Roman"/>
          <w:bCs/>
          <w:sz w:val="28"/>
          <w:szCs w:val="28"/>
          <w:lang w:val="en-US"/>
        </w:rPr>
        <w:t>h</w:t>
      </w:r>
      <w:r w:rsidR="00DC1BB9" w:rsidRPr="001A2D0A">
        <w:rPr>
          <w:rFonts w:ascii="Times New Roman" w:hAnsi="Times New Roman"/>
          <w:bCs/>
          <w:sz w:val="28"/>
          <w:szCs w:val="28"/>
          <w:lang w:val="en-US"/>
        </w:rPr>
        <w:t>exen</w:t>
      </w:r>
      <w:r w:rsidRPr="001A2D0A">
        <w:rPr>
          <w:rFonts w:ascii="Times New Roman" w:hAnsi="Times New Roman"/>
          <w:bCs/>
          <w:sz w:val="28"/>
          <w:szCs w:val="28"/>
          <w:lang w:val="en-US"/>
        </w:rPr>
        <w:t>-1-ol</w:t>
      </w:r>
      <w:r w:rsidRPr="001A2D0A">
        <w:rPr>
          <w:rFonts w:ascii="Times New Roman" w:hAnsi="Times New Roman"/>
          <w:sz w:val="28"/>
          <w:szCs w:val="28"/>
          <w:lang w:val="en-US"/>
        </w:rPr>
        <w:t xml:space="preserve"> – Z3-6OH</w:t>
      </w:r>
    </w:p>
    <w:p w:rsidR="00B320F0" w:rsidRPr="001A2D0A" w:rsidRDefault="00B320F0" w:rsidP="00B320F0">
      <w:pPr>
        <w:ind w:firstLine="0"/>
        <w:rPr>
          <w:rFonts w:ascii="Times New Roman" w:hAnsi="Times New Roman"/>
          <w:sz w:val="28"/>
          <w:szCs w:val="28"/>
          <w:lang w:val="en-US"/>
        </w:rPr>
      </w:pPr>
      <w:r w:rsidRPr="001A2D0A">
        <w:rPr>
          <w:rFonts w:ascii="Times New Roman" w:hAnsi="Times New Roman"/>
          <w:bCs/>
          <w:sz w:val="28"/>
          <w:szCs w:val="28"/>
          <w:lang w:val="en-US"/>
        </w:rPr>
        <w:t>(</w:t>
      </w:r>
      <w:r w:rsidRPr="00BF6A3C">
        <w:rPr>
          <w:rFonts w:ascii="Times New Roman" w:hAnsi="Times New Roman"/>
          <w:bCs/>
          <w:i/>
          <w:sz w:val="28"/>
          <w:szCs w:val="28"/>
          <w:lang w:val="en-US"/>
        </w:rPr>
        <w:t>Z</w:t>
      </w:r>
      <w:r w:rsidRPr="001A2D0A">
        <w:rPr>
          <w:rFonts w:ascii="Times New Roman" w:hAnsi="Times New Roman"/>
          <w:bCs/>
          <w:sz w:val="28"/>
          <w:szCs w:val="28"/>
          <w:lang w:val="en-US"/>
        </w:rPr>
        <w:t>)-3-</w:t>
      </w:r>
      <w:r w:rsidR="00DC1BB9">
        <w:rPr>
          <w:rFonts w:ascii="Times New Roman" w:hAnsi="Times New Roman"/>
          <w:bCs/>
          <w:sz w:val="28"/>
          <w:szCs w:val="28"/>
          <w:lang w:val="en-US"/>
        </w:rPr>
        <w:t>h</w:t>
      </w:r>
      <w:r w:rsidR="00DC1BB9" w:rsidRPr="001A2D0A">
        <w:rPr>
          <w:rFonts w:ascii="Times New Roman" w:hAnsi="Times New Roman"/>
          <w:bCs/>
          <w:sz w:val="28"/>
          <w:szCs w:val="28"/>
          <w:lang w:val="en-US"/>
        </w:rPr>
        <w:t xml:space="preserve">exenyl </w:t>
      </w:r>
      <w:r w:rsidRPr="001A2D0A">
        <w:rPr>
          <w:rFonts w:ascii="Times New Roman" w:hAnsi="Times New Roman"/>
          <w:bCs/>
          <w:sz w:val="28"/>
          <w:szCs w:val="28"/>
          <w:lang w:val="en-US"/>
        </w:rPr>
        <w:t>butyrate</w:t>
      </w:r>
      <w:r w:rsidRPr="001A2D0A">
        <w:rPr>
          <w:rFonts w:ascii="Times New Roman" w:hAnsi="Times New Roman"/>
          <w:sz w:val="28"/>
          <w:szCs w:val="28"/>
          <w:lang w:val="en-US"/>
        </w:rPr>
        <w:t xml:space="preserve"> – Z3-6Bu</w:t>
      </w:r>
    </w:p>
    <w:p w:rsidR="00B320F0" w:rsidRPr="001A2D0A" w:rsidRDefault="00B320F0" w:rsidP="00B320F0">
      <w:pPr>
        <w:ind w:firstLine="0"/>
        <w:rPr>
          <w:rFonts w:ascii="Times New Roman" w:hAnsi="Times New Roman"/>
          <w:sz w:val="28"/>
          <w:szCs w:val="28"/>
          <w:lang w:val="en-US"/>
        </w:rPr>
      </w:pPr>
      <w:r w:rsidRPr="001A2D0A">
        <w:rPr>
          <w:rFonts w:ascii="Times New Roman" w:hAnsi="Times New Roman"/>
          <w:bCs/>
          <w:sz w:val="28"/>
          <w:szCs w:val="28"/>
          <w:lang w:val="en-US"/>
        </w:rPr>
        <w:t>LC</w:t>
      </w:r>
      <w:r w:rsidR="005A2912" w:rsidRPr="00BF6A3C">
        <w:rPr>
          <w:rFonts w:ascii="Times New Roman" w:hAnsi="Times New Roman"/>
          <w:bCs/>
          <w:sz w:val="28"/>
          <w:szCs w:val="28"/>
          <w:vertAlign w:val="subscript"/>
          <w:lang w:val="en-US"/>
        </w:rPr>
        <w:t>50</w:t>
      </w:r>
      <w:r w:rsidR="005A2912" w:rsidRPr="001A2D0A">
        <w:rPr>
          <w:rFonts w:ascii="Times New Roman" w:hAnsi="Times New Roman"/>
          <w:sz w:val="28"/>
          <w:szCs w:val="28"/>
          <w:lang w:val="en-US"/>
        </w:rPr>
        <w:t xml:space="preserve"> </w:t>
      </w:r>
      <w:r w:rsidRPr="001A2D0A">
        <w:rPr>
          <w:rFonts w:ascii="Times New Roman" w:hAnsi="Times New Roman"/>
          <w:sz w:val="28"/>
          <w:szCs w:val="28"/>
          <w:lang w:val="en-US"/>
        </w:rPr>
        <w:t>– concentration required to cause 50% mortality in the test individuals</w:t>
      </w:r>
    </w:p>
    <w:p w:rsidR="00B320F0" w:rsidRPr="001A2D0A" w:rsidRDefault="00B320F0" w:rsidP="00B320F0">
      <w:pPr>
        <w:ind w:firstLine="0"/>
        <w:rPr>
          <w:rFonts w:ascii="Times New Roman" w:hAnsi="Times New Roman"/>
          <w:sz w:val="28"/>
          <w:szCs w:val="28"/>
          <w:lang w:val="en-US"/>
        </w:rPr>
      </w:pPr>
      <w:r w:rsidRPr="001A2D0A">
        <w:rPr>
          <w:rFonts w:ascii="Times New Roman" w:hAnsi="Times New Roman"/>
          <w:bCs/>
          <w:sz w:val="28"/>
          <w:szCs w:val="28"/>
          <w:lang w:val="en-US"/>
        </w:rPr>
        <w:t>LC</w:t>
      </w:r>
      <w:r w:rsidR="005A2912" w:rsidRPr="00BF6A3C">
        <w:rPr>
          <w:rFonts w:ascii="Times New Roman" w:hAnsi="Times New Roman"/>
          <w:bCs/>
          <w:sz w:val="28"/>
          <w:szCs w:val="28"/>
          <w:vertAlign w:val="subscript"/>
          <w:lang w:val="en-US"/>
        </w:rPr>
        <w:t>90</w:t>
      </w:r>
      <w:r w:rsidR="005A2912" w:rsidRPr="001A2D0A">
        <w:rPr>
          <w:rFonts w:ascii="Times New Roman" w:hAnsi="Times New Roman"/>
          <w:sz w:val="28"/>
          <w:szCs w:val="28"/>
          <w:lang w:val="en-US"/>
        </w:rPr>
        <w:t xml:space="preserve"> </w:t>
      </w:r>
      <w:r w:rsidRPr="001A2D0A">
        <w:rPr>
          <w:rFonts w:ascii="Times New Roman" w:hAnsi="Times New Roman"/>
          <w:sz w:val="28"/>
          <w:szCs w:val="28"/>
          <w:lang w:val="en-US"/>
        </w:rPr>
        <w:t>– concentration required to cause 90% mortality in the test individuals</w:t>
      </w:r>
    </w:p>
    <w:p w:rsidR="00B320F0" w:rsidRPr="001A2D0A" w:rsidRDefault="00B320F0" w:rsidP="00B320F0">
      <w:pPr>
        <w:ind w:firstLine="0"/>
        <w:rPr>
          <w:rFonts w:ascii="Times New Roman" w:hAnsi="Times New Roman"/>
          <w:sz w:val="28"/>
          <w:szCs w:val="28"/>
          <w:lang w:val="en-US"/>
        </w:rPr>
      </w:pPr>
      <w:r w:rsidRPr="001A2D0A">
        <w:rPr>
          <w:rFonts w:ascii="Times New Roman" w:hAnsi="Times New Roman"/>
          <w:bCs/>
          <w:sz w:val="28"/>
          <w:szCs w:val="28"/>
          <w:lang w:val="en-US"/>
        </w:rPr>
        <w:t>LT</w:t>
      </w:r>
      <w:r w:rsidR="005A2912" w:rsidRPr="00BF6A3C">
        <w:rPr>
          <w:rFonts w:ascii="Times New Roman" w:hAnsi="Times New Roman"/>
          <w:bCs/>
          <w:sz w:val="28"/>
          <w:szCs w:val="28"/>
          <w:vertAlign w:val="subscript"/>
          <w:lang w:val="en-US"/>
        </w:rPr>
        <w:t>50</w:t>
      </w:r>
      <w:r w:rsidR="005A2912" w:rsidRPr="001A2D0A">
        <w:rPr>
          <w:rFonts w:ascii="Times New Roman" w:hAnsi="Times New Roman"/>
          <w:sz w:val="28"/>
          <w:szCs w:val="28"/>
          <w:lang w:val="en-US"/>
        </w:rPr>
        <w:t xml:space="preserve"> </w:t>
      </w:r>
      <w:r w:rsidRPr="001A2D0A">
        <w:rPr>
          <w:rFonts w:ascii="Times New Roman" w:hAnsi="Times New Roman"/>
          <w:sz w:val="28"/>
          <w:szCs w:val="28"/>
          <w:lang w:val="en-US"/>
        </w:rPr>
        <w:t>– median lethal time</w:t>
      </w:r>
    </w:p>
    <w:p w:rsidR="00B320F0" w:rsidRPr="001A2D0A" w:rsidRDefault="00B320F0" w:rsidP="00B320F0">
      <w:pPr>
        <w:ind w:firstLine="0"/>
        <w:rPr>
          <w:rFonts w:ascii="Times New Roman" w:hAnsi="Times New Roman"/>
          <w:sz w:val="28"/>
          <w:szCs w:val="28"/>
          <w:lang w:val="en-US"/>
        </w:rPr>
      </w:pPr>
      <w:r w:rsidRPr="001A2D0A">
        <w:rPr>
          <w:rFonts w:ascii="Times New Roman" w:hAnsi="Times New Roman"/>
          <w:bCs/>
          <w:sz w:val="28"/>
          <w:szCs w:val="28"/>
          <w:lang w:val="en-US"/>
        </w:rPr>
        <w:t>PE</w:t>
      </w:r>
      <w:r w:rsidRPr="001A2D0A">
        <w:rPr>
          <w:rFonts w:ascii="Times New Roman" w:hAnsi="Times New Roman"/>
          <w:sz w:val="28"/>
          <w:szCs w:val="28"/>
          <w:lang w:val="en-US"/>
        </w:rPr>
        <w:t xml:space="preserve"> – polyethylene, polyethylene (adj.)</w:t>
      </w:r>
    </w:p>
    <w:p w:rsidR="00B320F0" w:rsidRPr="001A2D0A" w:rsidRDefault="00B320F0" w:rsidP="00B320F0">
      <w:pPr>
        <w:ind w:firstLine="0"/>
        <w:rPr>
          <w:rFonts w:ascii="Times New Roman" w:hAnsi="Times New Roman"/>
          <w:sz w:val="28"/>
          <w:szCs w:val="28"/>
          <w:lang w:val="en-US"/>
        </w:rPr>
      </w:pPr>
      <w:r w:rsidRPr="001A2D0A">
        <w:rPr>
          <w:rFonts w:ascii="Times New Roman" w:hAnsi="Times New Roman"/>
          <w:bCs/>
          <w:sz w:val="28"/>
          <w:szCs w:val="28"/>
          <w:lang w:val="en-US"/>
        </w:rPr>
        <w:t>SE</w:t>
      </w:r>
      <w:r w:rsidRPr="001A2D0A">
        <w:rPr>
          <w:rFonts w:ascii="Times New Roman" w:hAnsi="Times New Roman"/>
          <w:sz w:val="28"/>
          <w:szCs w:val="28"/>
          <w:lang w:val="en-US"/>
        </w:rPr>
        <w:t xml:space="preserve"> – standard error</w:t>
      </w:r>
    </w:p>
    <w:p w:rsidR="00B320F0" w:rsidRDefault="00B320F0" w:rsidP="00B320F0">
      <w:pPr>
        <w:ind w:firstLine="0"/>
        <w:rPr>
          <w:rFonts w:ascii="Times New Roman" w:hAnsi="Times New Roman"/>
          <w:sz w:val="24"/>
          <w:szCs w:val="24"/>
          <w:lang w:val="en-US"/>
        </w:rPr>
      </w:pPr>
    </w:p>
    <w:p w:rsidR="00B320F0" w:rsidRDefault="00B320F0" w:rsidP="00B320F0">
      <w:pPr>
        <w:ind w:firstLine="0"/>
        <w:rPr>
          <w:rFonts w:ascii="Times New Roman" w:hAnsi="Times New Roman"/>
          <w:sz w:val="24"/>
          <w:szCs w:val="24"/>
          <w:lang w:val="en-US"/>
        </w:rPr>
      </w:pPr>
    </w:p>
    <w:p w:rsidR="00B320F0" w:rsidRDefault="00B320F0" w:rsidP="00B320F0">
      <w:pPr>
        <w:ind w:firstLine="0"/>
        <w:rPr>
          <w:rFonts w:ascii="Times New Roman" w:hAnsi="Times New Roman"/>
          <w:sz w:val="24"/>
          <w:szCs w:val="24"/>
          <w:lang w:val="en-US"/>
        </w:rPr>
      </w:pPr>
    </w:p>
    <w:p w:rsidR="00B320F0" w:rsidRDefault="00B320F0" w:rsidP="00B320F0">
      <w:pPr>
        <w:ind w:firstLine="0"/>
        <w:rPr>
          <w:rFonts w:ascii="Times New Roman" w:hAnsi="Times New Roman"/>
          <w:sz w:val="24"/>
          <w:szCs w:val="24"/>
          <w:lang w:val="en-US"/>
        </w:rPr>
      </w:pPr>
    </w:p>
    <w:p w:rsidR="00B320F0" w:rsidRDefault="00B320F0" w:rsidP="00B320F0">
      <w:pPr>
        <w:ind w:firstLine="0"/>
        <w:rPr>
          <w:rFonts w:ascii="Times New Roman" w:hAnsi="Times New Roman"/>
          <w:sz w:val="24"/>
          <w:szCs w:val="24"/>
          <w:lang w:val="en-US"/>
        </w:rPr>
      </w:pPr>
    </w:p>
    <w:p w:rsidR="00B320F0" w:rsidRDefault="00B320F0" w:rsidP="00B320F0">
      <w:pPr>
        <w:ind w:firstLine="0"/>
        <w:rPr>
          <w:rFonts w:ascii="Times New Roman" w:hAnsi="Times New Roman"/>
          <w:sz w:val="24"/>
          <w:szCs w:val="24"/>
          <w:lang w:val="en-US"/>
        </w:rPr>
      </w:pPr>
    </w:p>
    <w:p w:rsidR="00B320F0" w:rsidRDefault="00B320F0" w:rsidP="00B320F0">
      <w:pPr>
        <w:ind w:firstLine="0"/>
        <w:rPr>
          <w:rFonts w:ascii="Times New Roman" w:hAnsi="Times New Roman"/>
          <w:sz w:val="24"/>
          <w:szCs w:val="24"/>
          <w:lang w:val="en-US"/>
        </w:rPr>
      </w:pPr>
    </w:p>
    <w:p w:rsidR="00B320F0" w:rsidRDefault="00B320F0" w:rsidP="00B320F0">
      <w:pPr>
        <w:ind w:firstLine="0"/>
        <w:rPr>
          <w:rFonts w:ascii="Times New Roman" w:hAnsi="Times New Roman"/>
          <w:sz w:val="24"/>
          <w:szCs w:val="24"/>
          <w:lang w:val="en-US"/>
        </w:rPr>
      </w:pPr>
    </w:p>
    <w:p w:rsidR="00B320F0" w:rsidRDefault="00B320F0" w:rsidP="00B320F0">
      <w:pPr>
        <w:ind w:firstLine="0"/>
        <w:rPr>
          <w:rFonts w:ascii="Times New Roman" w:hAnsi="Times New Roman"/>
          <w:sz w:val="24"/>
          <w:szCs w:val="24"/>
          <w:lang w:val="en-US"/>
        </w:rPr>
      </w:pPr>
    </w:p>
    <w:p w:rsidR="00B320F0" w:rsidRDefault="00B320F0" w:rsidP="00B320F0">
      <w:pPr>
        <w:ind w:firstLine="0"/>
        <w:rPr>
          <w:rFonts w:ascii="Times New Roman" w:hAnsi="Times New Roman"/>
          <w:sz w:val="24"/>
          <w:szCs w:val="24"/>
          <w:lang w:val="en-US"/>
        </w:rPr>
      </w:pPr>
    </w:p>
    <w:p w:rsidR="00B320F0" w:rsidRDefault="00B320F0" w:rsidP="00B320F0">
      <w:pPr>
        <w:ind w:firstLine="0"/>
        <w:rPr>
          <w:rFonts w:ascii="Times New Roman" w:hAnsi="Times New Roman"/>
          <w:sz w:val="24"/>
          <w:szCs w:val="24"/>
          <w:lang w:val="en-US"/>
        </w:rPr>
      </w:pPr>
    </w:p>
    <w:p w:rsidR="00B320F0" w:rsidRDefault="00B320F0" w:rsidP="00B320F0">
      <w:pPr>
        <w:pStyle w:val="HTML"/>
        <w:spacing w:line="360" w:lineRule="auto"/>
        <w:ind w:left="57" w:firstLine="567"/>
        <w:jc w:val="center"/>
        <w:rPr>
          <w:rFonts w:ascii="Times New Roman" w:hAnsi="Times New Roman" w:cs="Times New Roman"/>
          <w:b/>
          <w:bCs/>
          <w:sz w:val="28"/>
          <w:szCs w:val="28"/>
          <w:lang w:val="en-US"/>
        </w:rPr>
      </w:pPr>
      <w:r w:rsidRPr="00B320F0">
        <w:rPr>
          <w:rFonts w:ascii="Times New Roman" w:hAnsi="Times New Roman" w:cs="Times New Roman"/>
          <w:b/>
          <w:bCs/>
          <w:sz w:val="28"/>
          <w:szCs w:val="28"/>
          <w:lang w:val="en-US"/>
        </w:rPr>
        <w:lastRenderedPageBreak/>
        <w:t>INTRODUCTION</w:t>
      </w:r>
    </w:p>
    <w:p w:rsidR="0007611C" w:rsidRPr="00B320F0" w:rsidRDefault="0007611C" w:rsidP="00B320F0">
      <w:pPr>
        <w:pStyle w:val="HTML"/>
        <w:spacing w:line="360" w:lineRule="auto"/>
        <w:ind w:left="57" w:firstLine="567"/>
        <w:jc w:val="center"/>
        <w:rPr>
          <w:rFonts w:ascii="Times New Roman" w:hAnsi="Times New Roman" w:cs="Times New Roman"/>
          <w:b/>
          <w:bCs/>
          <w:sz w:val="28"/>
          <w:szCs w:val="28"/>
          <w:lang w:val="en-US"/>
        </w:rPr>
      </w:pPr>
    </w:p>
    <w:p w:rsidR="00B320F0" w:rsidRPr="00B320F0" w:rsidRDefault="00B320F0" w:rsidP="00B320F0">
      <w:pPr>
        <w:pStyle w:val="HTML"/>
        <w:spacing w:line="360" w:lineRule="auto"/>
        <w:ind w:left="57" w:firstLine="567"/>
        <w:jc w:val="both"/>
        <w:rPr>
          <w:rFonts w:ascii="Times New Roman" w:hAnsi="Times New Roman" w:cs="Times New Roman"/>
          <w:bCs/>
          <w:sz w:val="24"/>
          <w:szCs w:val="24"/>
          <w:lang w:val="en-US"/>
        </w:rPr>
      </w:pPr>
      <w:r w:rsidRPr="00B320F0">
        <w:rPr>
          <w:rFonts w:ascii="Times New Roman" w:hAnsi="Times New Roman" w:cs="Times New Roman"/>
          <w:bCs/>
          <w:sz w:val="24"/>
          <w:szCs w:val="24"/>
          <w:lang w:val="en-US"/>
        </w:rPr>
        <w:t xml:space="preserve">The history of modern maize, </w:t>
      </w:r>
      <w:r w:rsidRPr="00B320F0">
        <w:rPr>
          <w:rFonts w:ascii="Times New Roman" w:hAnsi="Times New Roman" w:cs="Times New Roman"/>
          <w:bCs/>
          <w:i/>
          <w:iCs/>
          <w:sz w:val="24"/>
          <w:szCs w:val="24"/>
          <w:lang w:val="en-US"/>
        </w:rPr>
        <w:t>Zea mays</w:t>
      </w:r>
      <w:r w:rsidRPr="00B320F0">
        <w:rPr>
          <w:rFonts w:ascii="Times New Roman" w:hAnsi="Times New Roman" w:cs="Times New Roman"/>
          <w:bCs/>
          <w:sz w:val="24"/>
          <w:szCs w:val="24"/>
          <w:lang w:val="en-US"/>
        </w:rPr>
        <w:t xml:space="preserve"> Linnaeus, 1753 (Poaceae), dates back approximately 7,000–10,000 years and traces its origin to teosinte (</w:t>
      </w:r>
      <w:r w:rsidRPr="00B320F0">
        <w:rPr>
          <w:rFonts w:ascii="Times New Roman" w:hAnsi="Times New Roman" w:cs="Times New Roman"/>
          <w:bCs/>
          <w:i/>
          <w:iCs/>
          <w:sz w:val="24"/>
          <w:szCs w:val="24"/>
          <w:lang w:val="en-US"/>
        </w:rPr>
        <w:t>Euchlaena mexicana</w:t>
      </w:r>
      <w:r w:rsidRPr="00B320F0">
        <w:rPr>
          <w:rFonts w:ascii="Times New Roman" w:hAnsi="Times New Roman" w:cs="Times New Roman"/>
          <w:bCs/>
          <w:sz w:val="24"/>
          <w:szCs w:val="24"/>
          <w:lang w:val="en-US"/>
        </w:rPr>
        <w:t xml:space="preserve"> sensu lato), a wild grass native to present-day Mexico (Goodman and Galinat, 1988). Maize is one of the world's most important agricultural crops, with extensive applications in food production, animal feed, and various industrial sectors (Shiferaw et al., 2011; Ranum et al., 2014).</w:t>
      </w:r>
    </w:p>
    <w:p w:rsidR="00B320F0" w:rsidRPr="00B320F0" w:rsidRDefault="00B320F0" w:rsidP="00B320F0">
      <w:pPr>
        <w:pStyle w:val="HTML"/>
        <w:spacing w:line="360" w:lineRule="auto"/>
        <w:ind w:left="57" w:firstLine="567"/>
        <w:jc w:val="both"/>
        <w:rPr>
          <w:rFonts w:ascii="Times New Roman" w:hAnsi="Times New Roman" w:cs="Times New Roman"/>
          <w:bCs/>
          <w:sz w:val="24"/>
          <w:szCs w:val="24"/>
          <w:lang w:val="en-US"/>
        </w:rPr>
      </w:pPr>
      <w:r w:rsidRPr="00B320F0">
        <w:rPr>
          <w:rFonts w:ascii="Times New Roman" w:hAnsi="Times New Roman" w:cs="Times New Roman"/>
          <w:bCs/>
          <w:sz w:val="24"/>
          <w:szCs w:val="24"/>
          <w:lang w:val="en-US"/>
        </w:rPr>
        <w:t xml:space="preserve">In Bulgaria, maize is the second most important field crop after wheat. According to the </w:t>
      </w:r>
      <w:r w:rsidR="009A06BA">
        <w:rPr>
          <w:rFonts w:ascii="Times New Roman" w:hAnsi="Times New Roman" w:cs="Times New Roman"/>
          <w:bCs/>
          <w:sz w:val="24"/>
          <w:szCs w:val="24"/>
          <w:lang w:val="en-US"/>
        </w:rPr>
        <w:t>A</w:t>
      </w:r>
      <w:r w:rsidR="009A06BA" w:rsidRPr="00B320F0">
        <w:rPr>
          <w:rFonts w:ascii="Times New Roman" w:hAnsi="Times New Roman" w:cs="Times New Roman"/>
          <w:bCs/>
          <w:sz w:val="24"/>
          <w:szCs w:val="24"/>
          <w:lang w:val="en-US"/>
        </w:rPr>
        <w:t xml:space="preserve">nnual </w:t>
      </w:r>
      <w:r w:rsidRPr="00B320F0">
        <w:rPr>
          <w:rFonts w:ascii="Times New Roman" w:hAnsi="Times New Roman" w:cs="Times New Roman"/>
          <w:bCs/>
          <w:sz w:val="24"/>
          <w:szCs w:val="24"/>
          <w:lang w:val="en-US"/>
        </w:rPr>
        <w:t xml:space="preserve">Agricultural Reports of </w:t>
      </w:r>
      <w:r w:rsidRPr="00CD2BFE">
        <w:rPr>
          <w:rFonts w:ascii="Times New Roman" w:hAnsi="Times New Roman" w:cs="Times New Roman"/>
          <w:bCs/>
          <w:sz w:val="24"/>
          <w:szCs w:val="24"/>
          <w:lang w:val="en-US"/>
        </w:rPr>
        <w:t xml:space="preserve">the </w:t>
      </w:r>
      <w:r w:rsidR="00AB5277" w:rsidRPr="00CD2BFE">
        <w:rPr>
          <w:rFonts w:ascii="Times New Roman" w:hAnsi="Times New Roman" w:cs="Times New Roman"/>
          <w:bCs/>
          <w:sz w:val="24"/>
          <w:szCs w:val="24"/>
          <w:lang w:val="en-US"/>
        </w:rPr>
        <w:t xml:space="preserve">Ministry of Agriculture </w:t>
      </w:r>
      <w:r w:rsidR="009A06BA" w:rsidRPr="00CD2BFE">
        <w:rPr>
          <w:rFonts w:ascii="Times New Roman" w:hAnsi="Times New Roman" w:cs="Times New Roman"/>
          <w:bCs/>
          <w:sz w:val="24"/>
          <w:szCs w:val="24"/>
          <w:lang w:val="en-US"/>
        </w:rPr>
        <w:t>and Food</w:t>
      </w:r>
      <w:r w:rsidRPr="00B320F0">
        <w:rPr>
          <w:rFonts w:ascii="Times New Roman" w:hAnsi="Times New Roman" w:cs="Times New Roman"/>
          <w:bCs/>
          <w:sz w:val="24"/>
          <w:szCs w:val="24"/>
          <w:lang w:val="en-US"/>
        </w:rPr>
        <w:t>, approximately 500,000 hectares have been harvested with maize in recent years, representing between 9% and 13% of the country's total utilized agricultural area. Bulgaria has a long tradition of maize production, and numerous domestic hybrids have been developed at the Maize Research Institute (MRI) of the Agricultural Academy in Knezha, which is located in one of the most favourable agroecological regions for maize cultivation in the country.</w:t>
      </w:r>
    </w:p>
    <w:p w:rsidR="00B320F0" w:rsidRPr="00B320F0" w:rsidRDefault="00B320F0" w:rsidP="00B320F0">
      <w:pPr>
        <w:pStyle w:val="HTML"/>
        <w:spacing w:line="360" w:lineRule="auto"/>
        <w:ind w:left="57" w:firstLine="567"/>
        <w:jc w:val="both"/>
        <w:rPr>
          <w:rFonts w:ascii="Times New Roman" w:hAnsi="Times New Roman" w:cs="Times New Roman"/>
          <w:bCs/>
          <w:sz w:val="24"/>
          <w:szCs w:val="24"/>
          <w:lang w:val="en-US"/>
        </w:rPr>
      </w:pPr>
      <w:r w:rsidRPr="00B320F0">
        <w:rPr>
          <w:rFonts w:ascii="Times New Roman" w:hAnsi="Times New Roman" w:cs="Times New Roman"/>
          <w:bCs/>
          <w:sz w:val="24"/>
          <w:szCs w:val="24"/>
          <w:lang w:val="en-US"/>
        </w:rPr>
        <w:t xml:space="preserve">The major insect pests of </w:t>
      </w:r>
      <w:r w:rsidRPr="00B320F0">
        <w:rPr>
          <w:rFonts w:ascii="Times New Roman" w:hAnsi="Times New Roman" w:cs="Times New Roman"/>
          <w:bCs/>
          <w:i/>
          <w:iCs/>
          <w:sz w:val="24"/>
          <w:szCs w:val="24"/>
          <w:lang w:val="en-US"/>
        </w:rPr>
        <w:t>Z. mays</w:t>
      </w:r>
      <w:r w:rsidRPr="00B320F0">
        <w:rPr>
          <w:rFonts w:ascii="Times New Roman" w:hAnsi="Times New Roman" w:cs="Times New Roman"/>
          <w:bCs/>
          <w:sz w:val="24"/>
          <w:szCs w:val="24"/>
          <w:lang w:val="en-US"/>
        </w:rPr>
        <w:t xml:space="preserve"> in Bulgaria include the grey maize weevil </w:t>
      </w:r>
      <w:r w:rsidRPr="00B320F0">
        <w:rPr>
          <w:rFonts w:ascii="Times New Roman" w:hAnsi="Times New Roman" w:cs="Times New Roman"/>
          <w:bCs/>
          <w:i/>
          <w:iCs/>
          <w:sz w:val="24"/>
          <w:szCs w:val="24"/>
          <w:lang w:val="en-US"/>
        </w:rPr>
        <w:t>Tanymecus dilaticollis</w:t>
      </w:r>
      <w:r w:rsidRPr="00B320F0">
        <w:rPr>
          <w:rFonts w:ascii="Times New Roman" w:hAnsi="Times New Roman" w:cs="Times New Roman"/>
          <w:bCs/>
          <w:sz w:val="24"/>
          <w:szCs w:val="24"/>
          <w:lang w:val="en-US"/>
        </w:rPr>
        <w:t xml:space="preserve"> Gyllenhal, 1834 (Coleoptera: Curculionidae</w:t>
      </w:r>
      <w:r w:rsidR="00CF1A3C" w:rsidRPr="00B320F0">
        <w:rPr>
          <w:rFonts w:ascii="Times New Roman" w:hAnsi="Times New Roman" w:cs="Times New Roman"/>
          <w:bCs/>
          <w:sz w:val="24"/>
          <w:szCs w:val="24"/>
          <w:lang w:val="en-US"/>
        </w:rPr>
        <w:t>)</w:t>
      </w:r>
      <w:r w:rsidR="00CF1A3C">
        <w:rPr>
          <w:rFonts w:ascii="Times New Roman" w:hAnsi="Times New Roman" w:cs="Times New Roman"/>
          <w:bCs/>
          <w:sz w:val="24"/>
          <w:szCs w:val="24"/>
          <w:lang w:val="en-US"/>
        </w:rPr>
        <w:t>,</w:t>
      </w:r>
      <w:r w:rsidR="00CF1A3C" w:rsidRPr="00B320F0">
        <w:rPr>
          <w:rFonts w:ascii="Times New Roman" w:hAnsi="Times New Roman" w:cs="Times New Roman"/>
          <w:bCs/>
          <w:sz w:val="24"/>
          <w:szCs w:val="24"/>
          <w:lang w:val="en-US"/>
        </w:rPr>
        <w:t xml:space="preserve"> </w:t>
      </w:r>
      <w:r w:rsidRPr="00B320F0">
        <w:rPr>
          <w:rFonts w:ascii="Times New Roman" w:hAnsi="Times New Roman" w:cs="Times New Roman"/>
          <w:bCs/>
          <w:sz w:val="24"/>
          <w:szCs w:val="24"/>
          <w:lang w:val="en-US"/>
        </w:rPr>
        <w:t>wireworms and false wireworms (Coleoptera: Elateridae and Tenebrionidae</w:t>
      </w:r>
      <w:r w:rsidR="00CF1A3C" w:rsidRPr="00B320F0">
        <w:rPr>
          <w:rFonts w:ascii="Times New Roman" w:hAnsi="Times New Roman" w:cs="Times New Roman"/>
          <w:bCs/>
          <w:sz w:val="24"/>
          <w:szCs w:val="24"/>
          <w:lang w:val="en-US"/>
        </w:rPr>
        <w:t>)</w:t>
      </w:r>
      <w:r w:rsidR="00CF1A3C">
        <w:rPr>
          <w:rFonts w:ascii="Times New Roman" w:hAnsi="Times New Roman" w:cs="Times New Roman"/>
          <w:bCs/>
          <w:sz w:val="24"/>
          <w:szCs w:val="24"/>
          <w:lang w:val="en-US"/>
        </w:rPr>
        <w:t>,</w:t>
      </w:r>
      <w:r w:rsidR="00CF1A3C" w:rsidRPr="00B320F0">
        <w:rPr>
          <w:rFonts w:ascii="Times New Roman" w:hAnsi="Times New Roman" w:cs="Times New Roman"/>
          <w:bCs/>
          <w:sz w:val="24"/>
          <w:szCs w:val="24"/>
          <w:lang w:val="en-US"/>
        </w:rPr>
        <w:t xml:space="preserve"> </w:t>
      </w:r>
      <w:r w:rsidRPr="00B320F0">
        <w:rPr>
          <w:rFonts w:ascii="Times New Roman" w:hAnsi="Times New Roman" w:cs="Times New Roman"/>
          <w:bCs/>
          <w:sz w:val="24"/>
          <w:szCs w:val="24"/>
          <w:lang w:val="en-US"/>
        </w:rPr>
        <w:t xml:space="preserve">the European corn borer </w:t>
      </w:r>
      <w:r w:rsidRPr="00B320F0">
        <w:rPr>
          <w:rFonts w:ascii="Times New Roman" w:hAnsi="Times New Roman" w:cs="Times New Roman"/>
          <w:bCs/>
          <w:i/>
          <w:iCs/>
          <w:sz w:val="24"/>
          <w:szCs w:val="24"/>
          <w:lang w:val="en-US"/>
        </w:rPr>
        <w:t>Ostrinia nubilalis</w:t>
      </w:r>
      <w:r w:rsidRPr="00B320F0">
        <w:rPr>
          <w:rFonts w:ascii="Times New Roman" w:hAnsi="Times New Roman" w:cs="Times New Roman"/>
          <w:bCs/>
          <w:sz w:val="24"/>
          <w:szCs w:val="24"/>
          <w:lang w:val="en-US"/>
        </w:rPr>
        <w:t xml:space="preserve"> (Hübner, 1796</w:t>
      </w:r>
      <w:r w:rsidR="00CF1A3C" w:rsidRPr="00B320F0">
        <w:rPr>
          <w:rFonts w:ascii="Times New Roman" w:hAnsi="Times New Roman" w:cs="Times New Roman"/>
          <w:bCs/>
          <w:sz w:val="24"/>
          <w:szCs w:val="24"/>
          <w:lang w:val="en-US"/>
        </w:rPr>
        <w:t>)</w:t>
      </w:r>
      <w:r w:rsidR="00CF1A3C">
        <w:rPr>
          <w:rFonts w:ascii="Times New Roman" w:hAnsi="Times New Roman" w:cs="Times New Roman"/>
          <w:bCs/>
          <w:sz w:val="24"/>
          <w:szCs w:val="24"/>
          <w:lang w:val="en-US"/>
        </w:rPr>
        <w:t>,</w:t>
      </w:r>
      <w:r w:rsidR="00CF1A3C" w:rsidRPr="00B320F0">
        <w:rPr>
          <w:rFonts w:ascii="Times New Roman" w:hAnsi="Times New Roman" w:cs="Times New Roman"/>
          <w:bCs/>
          <w:sz w:val="24"/>
          <w:szCs w:val="24"/>
          <w:lang w:val="en-US"/>
        </w:rPr>
        <w:t xml:space="preserve"> </w:t>
      </w:r>
      <w:r w:rsidRPr="00B320F0">
        <w:rPr>
          <w:rFonts w:ascii="Times New Roman" w:hAnsi="Times New Roman" w:cs="Times New Roman"/>
          <w:bCs/>
          <w:sz w:val="24"/>
          <w:szCs w:val="24"/>
          <w:lang w:val="en-US"/>
        </w:rPr>
        <w:t xml:space="preserve">the cotton bollworm </w:t>
      </w:r>
      <w:r w:rsidRPr="00B320F0">
        <w:rPr>
          <w:rFonts w:ascii="Times New Roman" w:hAnsi="Times New Roman" w:cs="Times New Roman"/>
          <w:bCs/>
          <w:i/>
          <w:iCs/>
          <w:sz w:val="24"/>
          <w:szCs w:val="24"/>
          <w:lang w:val="en-US"/>
        </w:rPr>
        <w:t>Helicoverpa armigera</w:t>
      </w:r>
      <w:r w:rsidRPr="00B320F0">
        <w:rPr>
          <w:rFonts w:ascii="Times New Roman" w:hAnsi="Times New Roman" w:cs="Times New Roman"/>
          <w:bCs/>
          <w:sz w:val="24"/>
          <w:szCs w:val="24"/>
          <w:lang w:val="en-US"/>
        </w:rPr>
        <w:t xml:space="preserve"> (Hübner, 1808) (Lepidoptera: Noctuidae</w:t>
      </w:r>
      <w:r w:rsidR="00CF1A3C" w:rsidRPr="00B320F0">
        <w:rPr>
          <w:rFonts w:ascii="Times New Roman" w:hAnsi="Times New Roman" w:cs="Times New Roman"/>
          <w:bCs/>
          <w:sz w:val="24"/>
          <w:szCs w:val="24"/>
          <w:lang w:val="en-US"/>
        </w:rPr>
        <w:t>)</w:t>
      </w:r>
      <w:r w:rsidR="00CF1A3C">
        <w:rPr>
          <w:rFonts w:ascii="Times New Roman" w:hAnsi="Times New Roman" w:cs="Times New Roman"/>
          <w:bCs/>
          <w:sz w:val="24"/>
          <w:szCs w:val="24"/>
          <w:lang w:val="en-US"/>
        </w:rPr>
        <w:t>,</w:t>
      </w:r>
      <w:r w:rsidR="00CF1A3C" w:rsidRPr="00B320F0">
        <w:rPr>
          <w:rFonts w:ascii="Times New Roman" w:hAnsi="Times New Roman" w:cs="Times New Roman"/>
          <w:bCs/>
          <w:sz w:val="24"/>
          <w:szCs w:val="24"/>
          <w:lang w:val="en-US"/>
        </w:rPr>
        <w:t xml:space="preserve"> </w:t>
      </w:r>
      <w:r w:rsidRPr="00B320F0">
        <w:rPr>
          <w:rFonts w:ascii="Times New Roman" w:hAnsi="Times New Roman" w:cs="Times New Roman"/>
          <w:bCs/>
          <w:sz w:val="24"/>
          <w:szCs w:val="24"/>
          <w:lang w:val="en-US"/>
        </w:rPr>
        <w:t xml:space="preserve">aphids (Hemiptera: Aphididae), predominantly </w:t>
      </w:r>
      <w:r w:rsidRPr="00B320F0">
        <w:rPr>
          <w:rFonts w:ascii="Times New Roman" w:hAnsi="Times New Roman" w:cs="Times New Roman"/>
          <w:bCs/>
          <w:i/>
          <w:iCs/>
          <w:sz w:val="24"/>
          <w:szCs w:val="24"/>
          <w:lang w:val="en-US"/>
        </w:rPr>
        <w:t>Aphis fabae</w:t>
      </w:r>
      <w:r w:rsidRPr="00B320F0">
        <w:rPr>
          <w:rFonts w:ascii="Times New Roman" w:hAnsi="Times New Roman" w:cs="Times New Roman"/>
          <w:bCs/>
          <w:sz w:val="24"/>
          <w:szCs w:val="24"/>
          <w:lang w:val="en-US"/>
        </w:rPr>
        <w:t xml:space="preserve"> subsp. </w:t>
      </w:r>
      <w:r w:rsidRPr="00B320F0">
        <w:rPr>
          <w:rFonts w:ascii="Times New Roman" w:hAnsi="Times New Roman" w:cs="Times New Roman"/>
          <w:bCs/>
          <w:i/>
          <w:iCs/>
          <w:sz w:val="24"/>
          <w:szCs w:val="24"/>
          <w:lang w:val="en-US"/>
        </w:rPr>
        <w:t>evonymi</w:t>
      </w:r>
      <w:r w:rsidRPr="00B320F0">
        <w:rPr>
          <w:rFonts w:ascii="Times New Roman" w:hAnsi="Times New Roman" w:cs="Times New Roman"/>
          <w:bCs/>
          <w:sz w:val="24"/>
          <w:szCs w:val="24"/>
          <w:lang w:val="en-US"/>
        </w:rPr>
        <w:t xml:space="preserve"> Fabricius, 1775, </w:t>
      </w:r>
      <w:r w:rsidRPr="00B320F0">
        <w:rPr>
          <w:rFonts w:ascii="Times New Roman" w:hAnsi="Times New Roman" w:cs="Times New Roman"/>
          <w:bCs/>
          <w:i/>
          <w:iCs/>
          <w:sz w:val="24"/>
          <w:szCs w:val="24"/>
          <w:lang w:val="en-US"/>
        </w:rPr>
        <w:t>Rhopalosiphum maidis</w:t>
      </w:r>
      <w:r w:rsidRPr="00B320F0">
        <w:rPr>
          <w:rFonts w:ascii="Times New Roman" w:hAnsi="Times New Roman" w:cs="Times New Roman"/>
          <w:bCs/>
          <w:sz w:val="24"/>
          <w:szCs w:val="24"/>
          <w:lang w:val="en-US"/>
        </w:rPr>
        <w:t xml:space="preserve"> (Fitch, 1856), and </w:t>
      </w:r>
      <w:r w:rsidRPr="00B320F0">
        <w:rPr>
          <w:rFonts w:ascii="Times New Roman" w:hAnsi="Times New Roman" w:cs="Times New Roman"/>
          <w:bCs/>
          <w:i/>
          <w:iCs/>
          <w:sz w:val="24"/>
          <w:szCs w:val="24"/>
          <w:lang w:val="en-US"/>
        </w:rPr>
        <w:t>Sipha maydis</w:t>
      </w:r>
      <w:r w:rsidRPr="00B320F0">
        <w:rPr>
          <w:rFonts w:ascii="Times New Roman" w:hAnsi="Times New Roman" w:cs="Times New Roman"/>
          <w:bCs/>
          <w:sz w:val="24"/>
          <w:szCs w:val="24"/>
          <w:lang w:val="en-US"/>
        </w:rPr>
        <w:t xml:space="preserve"> Passerini, 1860; the cereal leaf beetle </w:t>
      </w:r>
      <w:r w:rsidRPr="00B320F0">
        <w:rPr>
          <w:rFonts w:ascii="Times New Roman" w:hAnsi="Times New Roman" w:cs="Times New Roman"/>
          <w:bCs/>
          <w:i/>
          <w:iCs/>
          <w:sz w:val="24"/>
          <w:szCs w:val="24"/>
          <w:lang w:val="en-US"/>
        </w:rPr>
        <w:t>Oulema melanopus</w:t>
      </w:r>
      <w:r w:rsidRPr="00B320F0">
        <w:rPr>
          <w:rFonts w:ascii="Times New Roman" w:hAnsi="Times New Roman" w:cs="Times New Roman"/>
          <w:bCs/>
          <w:sz w:val="24"/>
          <w:szCs w:val="24"/>
          <w:lang w:val="en-US"/>
        </w:rPr>
        <w:t xml:space="preserve"> (Linnaeus, 1758) (Coleoptera: Chrysomelidae</w:t>
      </w:r>
      <w:r w:rsidR="00CF1A3C" w:rsidRPr="00B320F0">
        <w:rPr>
          <w:rFonts w:ascii="Times New Roman" w:hAnsi="Times New Roman" w:cs="Times New Roman"/>
          <w:bCs/>
          <w:sz w:val="24"/>
          <w:szCs w:val="24"/>
          <w:lang w:val="en-US"/>
        </w:rPr>
        <w:t>)</w:t>
      </w:r>
      <w:r w:rsidR="00CF1A3C">
        <w:rPr>
          <w:rFonts w:ascii="Times New Roman" w:hAnsi="Times New Roman" w:cs="Times New Roman"/>
          <w:bCs/>
          <w:sz w:val="24"/>
          <w:szCs w:val="24"/>
          <w:lang w:val="en-US"/>
        </w:rPr>
        <w:t>,</w:t>
      </w:r>
      <w:r w:rsidR="00CF1A3C" w:rsidRPr="00B320F0">
        <w:rPr>
          <w:rFonts w:ascii="Times New Roman" w:hAnsi="Times New Roman" w:cs="Times New Roman"/>
          <w:bCs/>
          <w:sz w:val="24"/>
          <w:szCs w:val="24"/>
          <w:lang w:val="en-US"/>
        </w:rPr>
        <w:t xml:space="preserve"> </w:t>
      </w:r>
      <w:r w:rsidRPr="00B320F0">
        <w:rPr>
          <w:rFonts w:ascii="Times New Roman" w:hAnsi="Times New Roman" w:cs="Times New Roman"/>
          <w:bCs/>
          <w:sz w:val="24"/>
          <w:szCs w:val="24"/>
          <w:lang w:val="en-US"/>
        </w:rPr>
        <w:t xml:space="preserve">and the field cricket </w:t>
      </w:r>
      <w:r w:rsidRPr="00B320F0">
        <w:rPr>
          <w:rFonts w:ascii="Times New Roman" w:hAnsi="Times New Roman" w:cs="Times New Roman"/>
          <w:bCs/>
          <w:i/>
          <w:iCs/>
          <w:sz w:val="24"/>
          <w:szCs w:val="24"/>
          <w:lang w:val="en-US"/>
        </w:rPr>
        <w:t>Melanogryllus desertus</w:t>
      </w:r>
      <w:r w:rsidRPr="00B320F0">
        <w:rPr>
          <w:rFonts w:ascii="Times New Roman" w:hAnsi="Times New Roman" w:cs="Times New Roman"/>
          <w:bCs/>
          <w:sz w:val="24"/>
          <w:szCs w:val="24"/>
          <w:lang w:val="en-US"/>
        </w:rPr>
        <w:t xml:space="preserve"> (Pallas, 1771) (Grylloidea) (Tomov and Yordanov, 1988; BFSA, 2017).</w:t>
      </w:r>
    </w:p>
    <w:p w:rsidR="00B320F0" w:rsidRPr="00B320F0" w:rsidRDefault="00B320F0" w:rsidP="00B320F0">
      <w:pPr>
        <w:pStyle w:val="HTML"/>
        <w:spacing w:line="360" w:lineRule="auto"/>
        <w:ind w:left="57" w:firstLine="567"/>
        <w:jc w:val="both"/>
        <w:rPr>
          <w:rFonts w:ascii="Times New Roman" w:hAnsi="Times New Roman" w:cs="Times New Roman"/>
          <w:bCs/>
          <w:sz w:val="24"/>
          <w:szCs w:val="24"/>
          <w:lang w:val="en-US"/>
        </w:rPr>
      </w:pPr>
      <w:r w:rsidRPr="00B320F0">
        <w:rPr>
          <w:rFonts w:ascii="Times New Roman" w:hAnsi="Times New Roman" w:cs="Times New Roman"/>
          <w:bCs/>
          <w:sz w:val="24"/>
          <w:szCs w:val="24"/>
          <w:lang w:val="en-US"/>
        </w:rPr>
        <w:t>Since the late twentieth and early twenty-first centuries, several invasive insect species</w:t>
      </w:r>
      <w:r w:rsidR="003B754F">
        <w:rPr>
          <w:rFonts w:ascii="Times New Roman" w:hAnsi="Times New Roman" w:cs="Times New Roman"/>
          <w:bCs/>
          <w:sz w:val="24"/>
          <w:szCs w:val="24"/>
        </w:rPr>
        <w:t xml:space="preserve"> </w:t>
      </w:r>
      <w:r w:rsidRPr="00B320F0">
        <w:rPr>
          <w:rFonts w:ascii="Times New Roman" w:hAnsi="Times New Roman" w:cs="Times New Roman"/>
          <w:bCs/>
          <w:sz w:val="24"/>
          <w:szCs w:val="24"/>
          <w:lang w:val="en-US"/>
        </w:rPr>
        <w:t xml:space="preserve">have also been recorded as maize pests. These include the western corn rootworm </w:t>
      </w:r>
      <w:r w:rsidRPr="00B320F0">
        <w:rPr>
          <w:rFonts w:ascii="Times New Roman" w:hAnsi="Times New Roman" w:cs="Times New Roman"/>
          <w:bCs/>
          <w:i/>
          <w:iCs/>
          <w:sz w:val="24"/>
          <w:szCs w:val="24"/>
          <w:lang w:val="en-US"/>
        </w:rPr>
        <w:t>Diabrotica virgifera virgifera</w:t>
      </w:r>
      <w:r w:rsidRPr="00B320F0">
        <w:rPr>
          <w:rFonts w:ascii="Times New Roman" w:hAnsi="Times New Roman" w:cs="Times New Roman"/>
          <w:bCs/>
          <w:sz w:val="24"/>
          <w:szCs w:val="24"/>
          <w:lang w:val="en-US"/>
        </w:rPr>
        <w:t xml:space="preserve"> LeConte, 1858 (Coleoptera: Chrysomelidae), </w:t>
      </w:r>
      <w:r w:rsidRPr="00B320F0">
        <w:rPr>
          <w:rFonts w:ascii="Times New Roman" w:hAnsi="Times New Roman" w:cs="Times New Roman"/>
          <w:bCs/>
          <w:i/>
          <w:iCs/>
          <w:sz w:val="24"/>
          <w:szCs w:val="24"/>
          <w:lang w:val="en-US"/>
        </w:rPr>
        <w:t>Reptalus panzeri</w:t>
      </w:r>
      <w:r w:rsidRPr="00B320F0">
        <w:rPr>
          <w:rFonts w:ascii="Times New Roman" w:hAnsi="Times New Roman" w:cs="Times New Roman"/>
          <w:bCs/>
          <w:sz w:val="24"/>
          <w:szCs w:val="24"/>
          <w:lang w:val="en-US"/>
        </w:rPr>
        <w:t xml:space="preserve"> (Löw, 1883), and the planthopper </w:t>
      </w:r>
      <w:r w:rsidRPr="00B320F0">
        <w:rPr>
          <w:rFonts w:ascii="Times New Roman" w:hAnsi="Times New Roman" w:cs="Times New Roman"/>
          <w:bCs/>
          <w:i/>
          <w:iCs/>
          <w:sz w:val="24"/>
          <w:szCs w:val="24"/>
          <w:lang w:val="en-US"/>
        </w:rPr>
        <w:t>Hyalesthes obsoletus</w:t>
      </w:r>
      <w:r w:rsidRPr="00B320F0">
        <w:rPr>
          <w:rFonts w:ascii="Times New Roman" w:hAnsi="Times New Roman" w:cs="Times New Roman"/>
          <w:bCs/>
          <w:sz w:val="24"/>
          <w:szCs w:val="24"/>
          <w:lang w:val="en-US"/>
        </w:rPr>
        <w:t xml:space="preserve"> Signoret, 1865 (Auchenorrhyncha: Cixiidae), the latter two being vectors of stolbur phytoplasma (Ivanova, 2002a; Genov et al., 2014). The invasive brown marmorated stink bug, </w:t>
      </w:r>
      <w:r w:rsidRPr="00B320F0">
        <w:rPr>
          <w:rFonts w:ascii="Times New Roman" w:hAnsi="Times New Roman" w:cs="Times New Roman"/>
          <w:bCs/>
          <w:i/>
          <w:iCs/>
          <w:sz w:val="24"/>
          <w:szCs w:val="24"/>
          <w:lang w:val="en-US"/>
        </w:rPr>
        <w:t>Halyomorpha halys</w:t>
      </w:r>
      <w:r w:rsidRPr="00B320F0">
        <w:rPr>
          <w:rFonts w:ascii="Times New Roman" w:hAnsi="Times New Roman" w:cs="Times New Roman"/>
          <w:bCs/>
          <w:sz w:val="24"/>
          <w:szCs w:val="24"/>
          <w:lang w:val="en-US"/>
        </w:rPr>
        <w:t xml:space="preserve"> (Stål, 1855) (Heteroptera: Pentatomidae), a highly polyphagous species that also attacks maize, was first reported in Bulgaria in 2016 (Simov, 2016). More recently, the fall armyworm, </w:t>
      </w:r>
      <w:r w:rsidRPr="00B320F0">
        <w:rPr>
          <w:rFonts w:ascii="Times New Roman" w:hAnsi="Times New Roman" w:cs="Times New Roman"/>
          <w:bCs/>
          <w:i/>
          <w:iCs/>
          <w:sz w:val="24"/>
          <w:szCs w:val="24"/>
          <w:lang w:val="en-US"/>
        </w:rPr>
        <w:t>Spodoptera frugiperda</w:t>
      </w:r>
      <w:r w:rsidRPr="00B320F0">
        <w:rPr>
          <w:rFonts w:ascii="Times New Roman" w:hAnsi="Times New Roman" w:cs="Times New Roman"/>
          <w:bCs/>
          <w:sz w:val="24"/>
          <w:szCs w:val="24"/>
          <w:lang w:val="en-US"/>
        </w:rPr>
        <w:t xml:space="preserve"> (J. E. Smith, 1797) (Lepidoptera: Noctuidae), an economically important pest of numerous crops, including maize, </w:t>
      </w:r>
      <w:r w:rsidRPr="00B320F0">
        <w:rPr>
          <w:rFonts w:ascii="Times New Roman" w:hAnsi="Times New Roman" w:cs="Times New Roman"/>
          <w:bCs/>
          <w:sz w:val="24"/>
          <w:szCs w:val="24"/>
          <w:lang w:val="en-US"/>
        </w:rPr>
        <w:lastRenderedPageBreak/>
        <w:t>has been detected in Bulgaria through independent monitoring studies using pheromone traps, food-baited traps, and light traps (Szanyi et al., 2025).</w:t>
      </w:r>
    </w:p>
    <w:p w:rsidR="00B320F0" w:rsidRPr="00B320F0" w:rsidRDefault="00B320F0" w:rsidP="00B320F0">
      <w:pPr>
        <w:pStyle w:val="HTML"/>
        <w:spacing w:line="360" w:lineRule="auto"/>
        <w:ind w:left="57" w:firstLine="567"/>
        <w:jc w:val="both"/>
        <w:rPr>
          <w:rFonts w:ascii="Times New Roman" w:hAnsi="Times New Roman" w:cs="Times New Roman"/>
          <w:bCs/>
          <w:sz w:val="24"/>
          <w:szCs w:val="24"/>
          <w:lang w:val="en-US"/>
        </w:rPr>
      </w:pPr>
      <w:r w:rsidRPr="00B320F0">
        <w:rPr>
          <w:rFonts w:ascii="Times New Roman" w:hAnsi="Times New Roman" w:cs="Times New Roman"/>
          <w:bCs/>
          <w:sz w:val="24"/>
          <w:szCs w:val="24"/>
          <w:lang w:val="en-US"/>
        </w:rPr>
        <w:t xml:space="preserve">The present study focuses on three economically important coleopteran pests of maize in Bulgaria: </w:t>
      </w:r>
      <w:r w:rsidRPr="00B320F0">
        <w:rPr>
          <w:rFonts w:ascii="Times New Roman" w:hAnsi="Times New Roman" w:cs="Times New Roman"/>
          <w:bCs/>
          <w:i/>
          <w:iCs/>
          <w:sz w:val="24"/>
          <w:szCs w:val="24"/>
          <w:lang w:val="en-US"/>
        </w:rPr>
        <w:t>Tanymecus dilaticollis</w:t>
      </w:r>
      <w:r w:rsidRPr="00B320F0">
        <w:rPr>
          <w:rFonts w:ascii="Times New Roman" w:hAnsi="Times New Roman" w:cs="Times New Roman"/>
          <w:bCs/>
          <w:sz w:val="24"/>
          <w:szCs w:val="24"/>
          <w:lang w:val="en-US"/>
        </w:rPr>
        <w:t xml:space="preserve">, </w:t>
      </w:r>
      <w:r w:rsidRPr="00B320F0">
        <w:rPr>
          <w:rFonts w:ascii="Times New Roman" w:hAnsi="Times New Roman" w:cs="Times New Roman"/>
          <w:bCs/>
          <w:i/>
          <w:iCs/>
          <w:sz w:val="24"/>
          <w:szCs w:val="24"/>
          <w:lang w:val="en-US"/>
        </w:rPr>
        <w:t>Diabrotica virgifera virgifera</w:t>
      </w:r>
      <w:r w:rsidRPr="00B320F0">
        <w:rPr>
          <w:rFonts w:ascii="Times New Roman" w:hAnsi="Times New Roman" w:cs="Times New Roman"/>
          <w:bCs/>
          <w:sz w:val="24"/>
          <w:szCs w:val="24"/>
          <w:lang w:val="en-US"/>
        </w:rPr>
        <w:t xml:space="preserve">, and </w:t>
      </w:r>
      <w:r w:rsidRPr="00B320F0">
        <w:rPr>
          <w:rFonts w:ascii="Times New Roman" w:hAnsi="Times New Roman" w:cs="Times New Roman"/>
          <w:bCs/>
          <w:i/>
          <w:iCs/>
          <w:sz w:val="24"/>
          <w:szCs w:val="24"/>
          <w:lang w:val="en-US"/>
        </w:rPr>
        <w:t>Oulema melanopus</w:t>
      </w:r>
      <w:r w:rsidRPr="00B320F0">
        <w:rPr>
          <w:rFonts w:ascii="Times New Roman" w:hAnsi="Times New Roman" w:cs="Times New Roman"/>
          <w:bCs/>
          <w:sz w:val="24"/>
          <w:szCs w:val="24"/>
          <w:lang w:val="en-US"/>
        </w:rPr>
        <w:t xml:space="preserve"> (</w:t>
      </w:r>
      <w:r w:rsidRPr="00F41C11">
        <w:rPr>
          <w:rFonts w:ascii="Times New Roman" w:hAnsi="Times New Roman" w:cs="Times New Roman"/>
          <w:bCs/>
          <w:sz w:val="24"/>
          <w:szCs w:val="24"/>
          <w:lang w:val="en-US"/>
        </w:rPr>
        <w:t>Fig. 1</w:t>
      </w:r>
      <w:r w:rsidRPr="00B320F0">
        <w:rPr>
          <w:rFonts w:ascii="Times New Roman" w:hAnsi="Times New Roman" w:cs="Times New Roman"/>
          <w:bCs/>
          <w:sz w:val="24"/>
          <w:szCs w:val="24"/>
          <w:lang w:val="en-US"/>
        </w:rPr>
        <w:t>).</w:t>
      </w:r>
    </w:p>
    <w:p w:rsidR="00100B4F" w:rsidRDefault="00100B4F" w:rsidP="00100B4F">
      <w:pPr>
        <w:pStyle w:val="HTML"/>
        <w:spacing w:line="360" w:lineRule="auto"/>
        <w:ind w:left="57" w:firstLine="567"/>
        <w:jc w:val="both"/>
        <w:rPr>
          <w:rFonts w:ascii="Times New Roman" w:hAnsi="Times New Roman" w:cs="Times New Roman"/>
          <w:sz w:val="24"/>
          <w:szCs w:val="24"/>
          <w:lang w:val="en-US"/>
        </w:rPr>
      </w:pPr>
    </w:p>
    <w:p w:rsidR="00B320F0" w:rsidRDefault="00686510" w:rsidP="00B320F0">
      <w:pPr>
        <w:pStyle w:val="HTML"/>
        <w:spacing w:line="360" w:lineRule="auto"/>
        <w:jc w:val="both"/>
        <w:rPr>
          <w:rFonts w:ascii="Times New Roman" w:hAnsi="Times New Roman" w:cs="Times New Roman"/>
          <w:sz w:val="24"/>
          <w:szCs w:val="24"/>
          <w:lang w:val="en-US"/>
        </w:rPr>
      </w:pPr>
      <w:r w:rsidRPr="00686510">
        <w:rPr>
          <w:noProof/>
          <w:lang w:val="en-US" w:eastAsia="en-US"/>
        </w:rPr>
        <w:drawing>
          <wp:inline distT="0" distB="0" distL="0" distR="0" wp14:anchorId="2A639EF7" wp14:editId="4AD62C0B">
            <wp:extent cx="1962150" cy="171450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62150" cy="1714500"/>
                    </a:xfrm>
                    <a:prstGeom prst="rect">
                      <a:avLst/>
                    </a:prstGeom>
                    <a:noFill/>
                    <a:ln>
                      <a:noFill/>
                    </a:ln>
                  </pic:spPr>
                </pic:pic>
              </a:graphicData>
            </a:graphic>
          </wp:inline>
        </w:drawing>
      </w:r>
      <w:r w:rsidR="00200F91">
        <w:rPr>
          <w:rFonts w:ascii="Times New Roman" w:hAnsi="Times New Roman" w:cs="Times New Roman"/>
          <w:sz w:val="24"/>
          <w:szCs w:val="24"/>
          <w:lang w:val="en-US"/>
        </w:rPr>
        <w:t xml:space="preserve"> </w:t>
      </w:r>
      <w:r w:rsidR="003B754F">
        <w:rPr>
          <w:rFonts w:ascii="Times New Roman" w:hAnsi="Times New Roman" w:cs="Times New Roman"/>
          <w:sz w:val="24"/>
          <w:szCs w:val="24"/>
        </w:rPr>
        <w:t xml:space="preserve"> </w:t>
      </w:r>
      <w:r w:rsidRPr="00686510">
        <w:rPr>
          <w:rFonts w:ascii="Times New Roman" w:hAnsi="Times New Roman" w:cs="Times New Roman"/>
          <w:noProof/>
          <w:sz w:val="24"/>
          <w:szCs w:val="24"/>
          <w:lang w:val="en-US" w:eastAsia="en-US"/>
        </w:rPr>
        <w:drawing>
          <wp:inline distT="0" distB="0" distL="0" distR="0" wp14:anchorId="15647252" wp14:editId="498282D7">
            <wp:extent cx="2209800" cy="1717675"/>
            <wp:effectExtent l="0" t="0" r="0" b="0"/>
            <wp:docPr id="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09800" cy="1717675"/>
                    </a:xfrm>
                    <a:prstGeom prst="rect">
                      <a:avLst/>
                    </a:prstGeom>
                    <a:noFill/>
                    <a:ln>
                      <a:noFill/>
                    </a:ln>
                  </pic:spPr>
                </pic:pic>
              </a:graphicData>
            </a:graphic>
          </wp:inline>
        </w:drawing>
      </w:r>
      <w:r w:rsidR="00200F91">
        <w:rPr>
          <w:rFonts w:ascii="Times New Roman" w:hAnsi="Times New Roman" w:cs="Times New Roman"/>
          <w:sz w:val="24"/>
          <w:szCs w:val="24"/>
          <w:lang w:val="en-US"/>
        </w:rPr>
        <w:t xml:space="preserve"> </w:t>
      </w:r>
      <w:r w:rsidR="003B754F">
        <w:rPr>
          <w:rFonts w:ascii="Times New Roman" w:hAnsi="Times New Roman" w:cs="Times New Roman"/>
          <w:sz w:val="24"/>
          <w:szCs w:val="24"/>
        </w:rPr>
        <w:t xml:space="preserve"> </w:t>
      </w:r>
      <w:r w:rsidRPr="00686510">
        <w:rPr>
          <w:rFonts w:ascii="Times New Roman" w:hAnsi="Times New Roman" w:cs="Times New Roman"/>
          <w:noProof/>
          <w:sz w:val="24"/>
          <w:szCs w:val="24"/>
          <w:lang w:val="en-US" w:eastAsia="en-US"/>
        </w:rPr>
        <w:drawing>
          <wp:inline distT="0" distB="0" distL="0" distR="0" wp14:anchorId="2EE23DC9" wp14:editId="38690D07">
            <wp:extent cx="1104237" cy="1714500"/>
            <wp:effectExtent l="0" t="0" r="1270" b="0"/>
            <wp:docPr id="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04900" cy="1715530"/>
                    </a:xfrm>
                    <a:prstGeom prst="rect">
                      <a:avLst/>
                    </a:prstGeom>
                    <a:noFill/>
                    <a:ln>
                      <a:noFill/>
                    </a:ln>
                  </pic:spPr>
                </pic:pic>
              </a:graphicData>
            </a:graphic>
          </wp:inline>
        </w:drawing>
      </w:r>
    </w:p>
    <w:p w:rsidR="00B320F0" w:rsidRPr="00EC29CB" w:rsidRDefault="005C57BF" w:rsidP="00B320F0">
      <w:pPr>
        <w:spacing w:before="100" w:beforeAutospacing="1" w:after="100" w:afterAutospacing="1" w:line="240" w:lineRule="auto"/>
        <w:ind w:firstLine="0"/>
        <w:jc w:val="left"/>
        <w:rPr>
          <w:rFonts w:cs="Calibri"/>
          <w:sz w:val="24"/>
          <w:szCs w:val="24"/>
          <w:lang w:val="en-US"/>
        </w:rPr>
      </w:pPr>
      <w:r w:rsidRPr="00EC29CB">
        <w:rPr>
          <w:rFonts w:cs="Calibri"/>
          <w:b/>
          <w:bCs/>
          <w:sz w:val="24"/>
          <w:szCs w:val="24"/>
          <w:lang w:val="en-US"/>
        </w:rPr>
        <w:t>Fig</w:t>
      </w:r>
      <w:r>
        <w:rPr>
          <w:rFonts w:cs="Calibri"/>
          <w:b/>
          <w:bCs/>
          <w:sz w:val="24"/>
          <w:szCs w:val="24"/>
          <w:lang w:val="en-US"/>
        </w:rPr>
        <w:t>.</w:t>
      </w:r>
      <w:r w:rsidRPr="00EC29CB">
        <w:rPr>
          <w:rFonts w:cs="Calibri"/>
          <w:b/>
          <w:bCs/>
          <w:sz w:val="24"/>
          <w:szCs w:val="24"/>
          <w:lang w:val="en-US"/>
        </w:rPr>
        <w:t xml:space="preserve"> </w:t>
      </w:r>
      <w:r w:rsidR="00B320F0" w:rsidRPr="00EC29CB">
        <w:rPr>
          <w:rFonts w:cs="Calibri"/>
          <w:b/>
          <w:bCs/>
          <w:sz w:val="24"/>
          <w:szCs w:val="24"/>
          <w:lang w:val="en-US"/>
        </w:rPr>
        <w:t>1.</w:t>
      </w:r>
      <w:r w:rsidR="00B320F0" w:rsidRPr="00EC29CB">
        <w:rPr>
          <w:rFonts w:cs="Calibri"/>
          <w:sz w:val="24"/>
          <w:szCs w:val="24"/>
          <w:lang w:val="en-US"/>
        </w:rPr>
        <w:t xml:space="preserve"> </w:t>
      </w:r>
      <w:r w:rsidR="00B320F0" w:rsidRPr="00EC29CB">
        <w:rPr>
          <w:rFonts w:cs="Calibri"/>
          <w:i/>
          <w:iCs/>
          <w:sz w:val="24"/>
          <w:szCs w:val="24"/>
          <w:lang w:val="en-US"/>
        </w:rPr>
        <w:t>Tanymecus dilaticollis</w:t>
      </w:r>
      <w:r w:rsidR="00B320F0" w:rsidRPr="00EC29CB">
        <w:rPr>
          <w:rFonts w:cs="Calibri"/>
          <w:sz w:val="24"/>
          <w:szCs w:val="24"/>
          <w:lang w:val="en-US"/>
        </w:rPr>
        <w:t xml:space="preserve"> (left), </w:t>
      </w:r>
      <w:r w:rsidR="00B320F0" w:rsidRPr="00EC29CB">
        <w:rPr>
          <w:rFonts w:cs="Calibri"/>
          <w:i/>
          <w:iCs/>
          <w:sz w:val="24"/>
          <w:szCs w:val="24"/>
          <w:lang w:val="en-US"/>
        </w:rPr>
        <w:t>Diabrotica virgifera virgifera</w:t>
      </w:r>
      <w:r w:rsidR="00B320F0" w:rsidRPr="00EC29CB">
        <w:rPr>
          <w:rFonts w:cs="Calibri"/>
          <w:sz w:val="24"/>
          <w:szCs w:val="24"/>
          <w:lang w:val="en-US"/>
        </w:rPr>
        <w:t xml:space="preserve"> (centre), and </w:t>
      </w:r>
      <w:r w:rsidR="00B320F0" w:rsidRPr="00EC29CB">
        <w:rPr>
          <w:rFonts w:cs="Calibri"/>
          <w:i/>
          <w:iCs/>
          <w:sz w:val="24"/>
          <w:szCs w:val="24"/>
          <w:lang w:val="en-US"/>
        </w:rPr>
        <w:t>Oulema melanopus</w:t>
      </w:r>
      <w:r w:rsidR="00B320F0" w:rsidRPr="00EC29CB">
        <w:rPr>
          <w:rFonts w:cs="Calibri"/>
          <w:sz w:val="24"/>
          <w:szCs w:val="24"/>
          <w:lang w:val="en-US"/>
        </w:rPr>
        <w:t xml:space="preserve"> (right).</w:t>
      </w:r>
    </w:p>
    <w:p w:rsidR="00487990" w:rsidRPr="00D4406D" w:rsidRDefault="00487990" w:rsidP="00327654">
      <w:pPr>
        <w:pStyle w:val="HTML"/>
        <w:spacing w:line="360" w:lineRule="auto"/>
        <w:ind w:left="57" w:firstLine="567"/>
        <w:jc w:val="both"/>
        <w:rPr>
          <w:rFonts w:ascii="Times New Roman" w:hAnsi="Times New Roman" w:cs="Times New Roman"/>
          <w:sz w:val="24"/>
          <w:szCs w:val="24"/>
        </w:rPr>
      </w:pPr>
    </w:p>
    <w:p w:rsidR="00B320F0" w:rsidRPr="00B320F0" w:rsidRDefault="00650313" w:rsidP="00B320F0">
      <w:pPr>
        <w:spacing w:before="100" w:beforeAutospacing="1" w:after="100" w:afterAutospacing="1" w:line="240" w:lineRule="auto"/>
        <w:ind w:firstLine="0"/>
        <w:jc w:val="center"/>
        <w:outlineLvl w:val="1"/>
        <w:rPr>
          <w:rFonts w:ascii="Times New Roman" w:hAnsi="Times New Roman"/>
          <w:b/>
          <w:bCs/>
          <w:sz w:val="28"/>
          <w:szCs w:val="28"/>
          <w:lang w:val="en-US"/>
        </w:rPr>
      </w:pPr>
      <w:r>
        <w:rPr>
          <w:rFonts w:ascii="Times New Roman" w:hAnsi="Times New Roman"/>
          <w:b/>
          <w:bCs/>
          <w:sz w:val="28"/>
          <w:szCs w:val="28"/>
        </w:rPr>
        <w:t>1</w:t>
      </w:r>
      <w:r w:rsidR="00B320F0" w:rsidRPr="00B320F0">
        <w:rPr>
          <w:rFonts w:ascii="Times New Roman" w:hAnsi="Times New Roman"/>
          <w:b/>
          <w:bCs/>
          <w:sz w:val="28"/>
          <w:szCs w:val="28"/>
          <w:lang w:val="en-US"/>
        </w:rPr>
        <w:t>. LITERATURE REVIEW</w:t>
      </w:r>
    </w:p>
    <w:p w:rsidR="00B320F0" w:rsidRPr="00B320F0" w:rsidRDefault="00B320F0" w:rsidP="003D4F9D">
      <w:pPr>
        <w:ind w:firstLine="567"/>
        <w:rPr>
          <w:rFonts w:ascii="Times New Roman" w:hAnsi="Times New Roman"/>
          <w:sz w:val="24"/>
          <w:szCs w:val="24"/>
          <w:lang w:val="en-US"/>
        </w:rPr>
      </w:pPr>
      <w:r w:rsidRPr="00B320F0">
        <w:rPr>
          <w:rFonts w:ascii="Times New Roman" w:hAnsi="Times New Roman"/>
          <w:sz w:val="24"/>
          <w:szCs w:val="24"/>
          <w:lang w:val="en-US"/>
        </w:rPr>
        <w:t>The current policy of the European Union in the field of plant protection aims to reduce the risks associated with the use of plant protection products (PPPs) while promoting sustainable agricultural practices. The foundations of this policy are laid down in Regulation (EC) No. 1107/2009, Directive 2009/128/EC, and subsequent European legislation establishing a harmonised regulatory framework for the safe and sustainable use of PPPs. In line with the objectives of the European Green Deal and the Farm to Fork Strategy, the European Commission has set a target of reducing both the use of and the risks associated with chemical pesticides by 50% by 2030, while encouraging the implementation of environmentally sustainable plant protection methods.</w:t>
      </w:r>
    </w:p>
    <w:p w:rsidR="00B320F0" w:rsidRPr="00B320F0" w:rsidRDefault="00B320F0" w:rsidP="003D4F9D">
      <w:pPr>
        <w:ind w:firstLine="567"/>
        <w:rPr>
          <w:rFonts w:ascii="Times New Roman" w:hAnsi="Times New Roman"/>
          <w:sz w:val="24"/>
          <w:szCs w:val="24"/>
          <w:lang w:val="en-US"/>
        </w:rPr>
      </w:pPr>
      <w:r w:rsidRPr="00B320F0">
        <w:rPr>
          <w:rFonts w:ascii="Times New Roman" w:hAnsi="Times New Roman"/>
          <w:sz w:val="24"/>
          <w:szCs w:val="24"/>
          <w:lang w:val="en-US"/>
        </w:rPr>
        <w:t>The literature review presents the contemporary concept of Integrated Pest Management (IPM), which is based on systematic pest monitoring and decision-making according to established Economic Injury Levels (EILs). Particular attention is paid to the role of semiochemicals, bioinsecticides, and plant-derived products, particularly essential oils.</w:t>
      </w:r>
    </w:p>
    <w:p w:rsidR="00B320F0" w:rsidRPr="00B320F0" w:rsidRDefault="00B320F0" w:rsidP="003D4F9D">
      <w:pPr>
        <w:ind w:firstLine="567"/>
        <w:rPr>
          <w:rFonts w:ascii="Times New Roman" w:hAnsi="Times New Roman"/>
          <w:sz w:val="24"/>
          <w:szCs w:val="24"/>
          <w:lang w:val="en-US"/>
        </w:rPr>
      </w:pPr>
      <w:r w:rsidRPr="00B320F0">
        <w:rPr>
          <w:rFonts w:ascii="Times New Roman" w:hAnsi="Times New Roman"/>
          <w:sz w:val="24"/>
          <w:szCs w:val="24"/>
          <w:lang w:val="en-US"/>
        </w:rPr>
        <w:lastRenderedPageBreak/>
        <w:t>For each of the target insect species, the available information on geographical distribution, biology, Economic Injury Levels (EILs), control measures, chemical communication, and natural enemies is reviewed.</w:t>
      </w:r>
    </w:p>
    <w:p w:rsidR="00B320F0" w:rsidRPr="00B320F0" w:rsidRDefault="00B320F0" w:rsidP="00B320F0">
      <w:pPr>
        <w:spacing w:before="100" w:beforeAutospacing="1" w:after="100" w:afterAutospacing="1" w:line="240" w:lineRule="auto"/>
        <w:ind w:firstLine="0"/>
        <w:jc w:val="center"/>
        <w:outlineLvl w:val="1"/>
        <w:rPr>
          <w:rFonts w:ascii="Times New Roman" w:hAnsi="Times New Roman"/>
          <w:b/>
          <w:bCs/>
          <w:sz w:val="28"/>
          <w:szCs w:val="28"/>
          <w:lang w:val="en-US"/>
        </w:rPr>
      </w:pPr>
      <w:r w:rsidRPr="00B320F0">
        <w:rPr>
          <w:rFonts w:ascii="Times New Roman" w:hAnsi="Times New Roman"/>
          <w:b/>
          <w:bCs/>
          <w:sz w:val="28"/>
          <w:szCs w:val="28"/>
          <w:lang w:val="en-US"/>
        </w:rPr>
        <w:t>2. AIM AND OBJECTIVES</w:t>
      </w:r>
    </w:p>
    <w:p w:rsidR="00B320F0" w:rsidRPr="00B320F0" w:rsidRDefault="00B320F0" w:rsidP="003D4F9D">
      <w:pPr>
        <w:ind w:firstLine="567"/>
        <w:rPr>
          <w:rFonts w:ascii="Times New Roman" w:hAnsi="Times New Roman"/>
          <w:sz w:val="24"/>
          <w:szCs w:val="24"/>
          <w:lang w:val="en-US"/>
        </w:rPr>
      </w:pPr>
      <w:r w:rsidRPr="00B320F0">
        <w:rPr>
          <w:rFonts w:ascii="Times New Roman" w:hAnsi="Times New Roman"/>
          <w:sz w:val="24"/>
          <w:szCs w:val="24"/>
          <w:lang w:val="en-US"/>
        </w:rPr>
        <w:t>The aim of the present study was to identify attractants for the grey maize weevil (</w:t>
      </w:r>
      <w:r w:rsidRPr="00B320F0">
        <w:rPr>
          <w:rFonts w:ascii="Times New Roman" w:hAnsi="Times New Roman"/>
          <w:i/>
          <w:iCs/>
          <w:sz w:val="24"/>
          <w:szCs w:val="24"/>
          <w:lang w:val="en-US"/>
        </w:rPr>
        <w:t>Tanymecus dilaticollis</w:t>
      </w:r>
      <w:r w:rsidRPr="00B320F0">
        <w:rPr>
          <w:rFonts w:ascii="Times New Roman" w:hAnsi="Times New Roman"/>
          <w:sz w:val="24"/>
          <w:szCs w:val="24"/>
          <w:lang w:val="en-US"/>
        </w:rPr>
        <w:t xml:space="preserve">) and to obtain evidence of pheromone communication in this species; to investigate the potential practical application of attractive organic compounds for </w:t>
      </w:r>
      <w:r w:rsidRPr="00B320F0">
        <w:rPr>
          <w:rFonts w:ascii="Times New Roman" w:hAnsi="Times New Roman"/>
          <w:i/>
          <w:iCs/>
          <w:sz w:val="24"/>
          <w:szCs w:val="24"/>
          <w:lang w:val="en-US"/>
        </w:rPr>
        <w:t>Tanymecus dilaticollis</w:t>
      </w:r>
      <w:r w:rsidRPr="00B320F0">
        <w:rPr>
          <w:rFonts w:ascii="Times New Roman" w:hAnsi="Times New Roman"/>
          <w:sz w:val="24"/>
          <w:szCs w:val="24"/>
          <w:lang w:val="en-US"/>
        </w:rPr>
        <w:t xml:space="preserve"> and </w:t>
      </w:r>
      <w:r w:rsidRPr="00B320F0">
        <w:rPr>
          <w:rFonts w:ascii="Times New Roman" w:hAnsi="Times New Roman"/>
          <w:i/>
          <w:iCs/>
          <w:sz w:val="24"/>
          <w:szCs w:val="24"/>
          <w:lang w:val="en-US"/>
        </w:rPr>
        <w:t>Diabrotica virgifera virgifera</w:t>
      </w:r>
      <w:r w:rsidRPr="00B320F0">
        <w:rPr>
          <w:rFonts w:ascii="Times New Roman" w:hAnsi="Times New Roman"/>
          <w:sz w:val="24"/>
          <w:szCs w:val="24"/>
          <w:lang w:val="en-US"/>
        </w:rPr>
        <w:t xml:space="preserve">; and to evaluate the efficacy of biological control products against </w:t>
      </w:r>
      <w:r w:rsidRPr="00B320F0">
        <w:rPr>
          <w:rFonts w:ascii="Times New Roman" w:hAnsi="Times New Roman"/>
          <w:i/>
          <w:iCs/>
          <w:sz w:val="24"/>
          <w:szCs w:val="24"/>
          <w:lang w:val="en-US"/>
        </w:rPr>
        <w:t>T. dilaticollis</w:t>
      </w:r>
      <w:r w:rsidRPr="00B320F0">
        <w:rPr>
          <w:rFonts w:ascii="Times New Roman" w:hAnsi="Times New Roman"/>
          <w:sz w:val="24"/>
          <w:szCs w:val="24"/>
          <w:lang w:val="en-US"/>
        </w:rPr>
        <w:t xml:space="preserve">, </w:t>
      </w:r>
      <w:r w:rsidRPr="00B320F0">
        <w:rPr>
          <w:rFonts w:ascii="Times New Roman" w:hAnsi="Times New Roman"/>
          <w:i/>
          <w:iCs/>
          <w:sz w:val="24"/>
          <w:szCs w:val="24"/>
          <w:lang w:val="en-US"/>
        </w:rPr>
        <w:t>D. v. virgifera</w:t>
      </w:r>
      <w:r w:rsidRPr="00B320F0">
        <w:rPr>
          <w:rFonts w:ascii="Times New Roman" w:hAnsi="Times New Roman"/>
          <w:sz w:val="24"/>
          <w:szCs w:val="24"/>
          <w:lang w:val="en-US"/>
        </w:rPr>
        <w:t xml:space="preserve">, and </w:t>
      </w:r>
      <w:r w:rsidRPr="00B320F0">
        <w:rPr>
          <w:rFonts w:ascii="Times New Roman" w:hAnsi="Times New Roman"/>
          <w:i/>
          <w:iCs/>
          <w:sz w:val="24"/>
          <w:szCs w:val="24"/>
          <w:lang w:val="en-US"/>
        </w:rPr>
        <w:t>Oulema melanopus</w:t>
      </w:r>
      <w:r w:rsidRPr="00B320F0">
        <w:rPr>
          <w:rFonts w:ascii="Times New Roman" w:hAnsi="Times New Roman"/>
          <w:sz w:val="24"/>
          <w:szCs w:val="24"/>
          <w:lang w:val="en-US"/>
        </w:rPr>
        <w:t>.</w:t>
      </w:r>
    </w:p>
    <w:p w:rsidR="00B320F0" w:rsidRPr="00B320F0" w:rsidRDefault="00B320F0" w:rsidP="003D4F9D">
      <w:pPr>
        <w:ind w:firstLine="0"/>
        <w:rPr>
          <w:rFonts w:ascii="Times New Roman" w:hAnsi="Times New Roman"/>
          <w:sz w:val="24"/>
          <w:szCs w:val="24"/>
          <w:lang w:val="en-US"/>
        </w:rPr>
      </w:pPr>
      <w:r w:rsidRPr="00B320F0">
        <w:rPr>
          <w:rFonts w:ascii="Times New Roman" w:hAnsi="Times New Roman"/>
          <w:sz w:val="24"/>
          <w:szCs w:val="24"/>
          <w:lang w:val="en-US"/>
        </w:rPr>
        <w:t>To achieve this aim, the following objectives were established:</w:t>
      </w:r>
    </w:p>
    <w:p w:rsidR="00B320F0" w:rsidRPr="00B320F0" w:rsidRDefault="00B320F0" w:rsidP="003D4F9D">
      <w:pPr>
        <w:numPr>
          <w:ilvl w:val="0"/>
          <w:numId w:val="19"/>
        </w:numPr>
        <w:ind w:left="397" w:firstLine="0"/>
        <w:rPr>
          <w:rFonts w:ascii="Times New Roman" w:hAnsi="Times New Roman"/>
          <w:sz w:val="24"/>
          <w:szCs w:val="24"/>
          <w:lang w:val="en-US"/>
        </w:rPr>
      </w:pPr>
      <w:r w:rsidRPr="00B320F0">
        <w:rPr>
          <w:rFonts w:ascii="Times New Roman" w:hAnsi="Times New Roman"/>
          <w:sz w:val="24"/>
          <w:szCs w:val="24"/>
          <w:lang w:val="en-US"/>
        </w:rPr>
        <w:t xml:space="preserve">to evaluate the biological activity of candidate attractant compounds identified by collaborators through electrophysiological studies or chemical analyses of volatile organic compound blends against adults of </w:t>
      </w:r>
      <w:r w:rsidRPr="00B320F0">
        <w:rPr>
          <w:rFonts w:ascii="Times New Roman" w:hAnsi="Times New Roman"/>
          <w:i/>
          <w:iCs/>
          <w:sz w:val="24"/>
          <w:szCs w:val="24"/>
          <w:lang w:val="en-US"/>
        </w:rPr>
        <w:t>T. dilaticollis</w:t>
      </w:r>
      <w:r w:rsidRPr="00B320F0">
        <w:rPr>
          <w:rFonts w:ascii="Times New Roman" w:hAnsi="Times New Roman"/>
          <w:sz w:val="24"/>
          <w:szCs w:val="24"/>
          <w:lang w:val="en-US"/>
        </w:rPr>
        <w:t>;</w:t>
      </w:r>
    </w:p>
    <w:p w:rsidR="00B320F0" w:rsidRPr="00B320F0" w:rsidRDefault="00B320F0" w:rsidP="003D4F9D">
      <w:pPr>
        <w:numPr>
          <w:ilvl w:val="0"/>
          <w:numId w:val="19"/>
        </w:numPr>
        <w:ind w:left="397" w:firstLine="0"/>
        <w:rPr>
          <w:rFonts w:ascii="Times New Roman" w:hAnsi="Times New Roman"/>
          <w:sz w:val="24"/>
          <w:szCs w:val="24"/>
          <w:lang w:val="en-US"/>
        </w:rPr>
      </w:pPr>
      <w:r w:rsidRPr="00B320F0">
        <w:rPr>
          <w:rFonts w:ascii="Times New Roman" w:hAnsi="Times New Roman"/>
          <w:sz w:val="24"/>
          <w:szCs w:val="24"/>
          <w:lang w:val="en-US"/>
        </w:rPr>
        <w:t xml:space="preserve">to optimise the lure composition, dispenser type, and trap design for monitoring </w:t>
      </w:r>
      <w:r w:rsidRPr="00B320F0">
        <w:rPr>
          <w:rFonts w:ascii="Times New Roman" w:hAnsi="Times New Roman"/>
          <w:i/>
          <w:iCs/>
          <w:sz w:val="24"/>
          <w:szCs w:val="24"/>
          <w:lang w:val="en-US"/>
        </w:rPr>
        <w:t>T. dilaticollis</w:t>
      </w:r>
      <w:r w:rsidRPr="00B320F0">
        <w:rPr>
          <w:rFonts w:ascii="Times New Roman" w:hAnsi="Times New Roman"/>
          <w:sz w:val="24"/>
          <w:szCs w:val="24"/>
          <w:lang w:val="en-US"/>
        </w:rPr>
        <w:t>;</w:t>
      </w:r>
    </w:p>
    <w:p w:rsidR="00B320F0" w:rsidRPr="00B320F0" w:rsidRDefault="00B320F0" w:rsidP="003D4F9D">
      <w:pPr>
        <w:numPr>
          <w:ilvl w:val="0"/>
          <w:numId w:val="19"/>
        </w:numPr>
        <w:ind w:left="397" w:firstLine="0"/>
        <w:rPr>
          <w:rFonts w:ascii="Times New Roman" w:hAnsi="Times New Roman"/>
          <w:sz w:val="24"/>
          <w:szCs w:val="24"/>
          <w:lang w:val="en-US"/>
        </w:rPr>
      </w:pPr>
      <w:r w:rsidRPr="00B320F0">
        <w:rPr>
          <w:rFonts w:ascii="Times New Roman" w:hAnsi="Times New Roman"/>
          <w:sz w:val="24"/>
          <w:szCs w:val="24"/>
          <w:lang w:val="en-US"/>
        </w:rPr>
        <w:t>to monitor the seasonal activity of adult grey maize weevils and western corn rootworms using traps based on chemical or visual stimuli;</w:t>
      </w:r>
    </w:p>
    <w:p w:rsidR="00B320F0" w:rsidRPr="00B320F0" w:rsidRDefault="00B320F0" w:rsidP="003D4F9D">
      <w:pPr>
        <w:numPr>
          <w:ilvl w:val="0"/>
          <w:numId w:val="19"/>
        </w:numPr>
        <w:ind w:left="397" w:firstLine="0"/>
        <w:rPr>
          <w:rFonts w:ascii="Times New Roman" w:hAnsi="Times New Roman"/>
          <w:sz w:val="24"/>
          <w:szCs w:val="24"/>
          <w:lang w:val="en-US"/>
        </w:rPr>
      </w:pPr>
      <w:r w:rsidRPr="00B320F0">
        <w:rPr>
          <w:rFonts w:ascii="Times New Roman" w:hAnsi="Times New Roman"/>
          <w:sz w:val="24"/>
          <w:szCs w:val="24"/>
          <w:lang w:val="en-US"/>
        </w:rPr>
        <w:t xml:space="preserve">to evaluate biological plant protection products (entomopathogenic fungi, entomopathogenic nematodes, and essential oil) against </w:t>
      </w:r>
      <w:r w:rsidRPr="00B320F0">
        <w:rPr>
          <w:rFonts w:ascii="Times New Roman" w:hAnsi="Times New Roman"/>
          <w:i/>
          <w:iCs/>
          <w:sz w:val="24"/>
          <w:szCs w:val="24"/>
          <w:lang w:val="en-US"/>
        </w:rPr>
        <w:t>T. dilaticollis</w:t>
      </w:r>
      <w:r w:rsidRPr="00B320F0">
        <w:rPr>
          <w:rFonts w:ascii="Times New Roman" w:hAnsi="Times New Roman"/>
          <w:sz w:val="24"/>
          <w:szCs w:val="24"/>
          <w:lang w:val="en-US"/>
        </w:rPr>
        <w:t xml:space="preserve">, </w:t>
      </w:r>
      <w:r w:rsidRPr="00B320F0">
        <w:rPr>
          <w:rFonts w:ascii="Times New Roman" w:hAnsi="Times New Roman"/>
          <w:i/>
          <w:iCs/>
          <w:sz w:val="24"/>
          <w:szCs w:val="24"/>
          <w:lang w:val="en-US"/>
        </w:rPr>
        <w:t>D. v. virgifera</w:t>
      </w:r>
      <w:r w:rsidRPr="00B320F0">
        <w:rPr>
          <w:rFonts w:ascii="Times New Roman" w:hAnsi="Times New Roman"/>
          <w:sz w:val="24"/>
          <w:szCs w:val="24"/>
          <w:lang w:val="en-US"/>
        </w:rPr>
        <w:t xml:space="preserve">, and </w:t>
      </w:r>
      <w:r w:rsidRPr="00B320F0">
        <w:rPr>
          <w:rFonts w:ascii="Times New Roman" w:hAnsi="Times New Roman"/>
          <w:i/>
          <w:iCs/>
          <w:sz w:val="24"/>
          <w:szCs w:val="24"/>
          <w:lang w:val="en-US"/>
        </w:rPr>
        <w:t>O. melanopus</w:t>
      </w:r>
      <w:r w:rsidRPr="00B320F0">
        <w:rPr>
          <w:rFonts w:ascii="Times New Roman" w:hAnsi="Times New Roman"/>
          <w:sz w:val="24"/>
          <w:szCs w:val="24"/>
          <w:lang w:val="en-US"/>
        </w:rPr>
        <w:t>.</w:t>
      </w:r>
    </w:p>
    <w:p w:rsidR="00B320F0" w:rsidRPr="00B320F0" w:rsidRDefault="00B320F0" w:rsidP="003D4F9D">
      <w:pPr>
        <w:ind w:firstLine="567"/>
        <w:rPr>
          <w:rFonts w:ascii="Times New Roman" w:hAnsi="Times New Roman"/>
          <w:sz w:val="24"/>
          <w:szCs w:val="24"/>
          <w:lang w:val="en-US"/>
        </w:rPr>
      </w:pPr>
      <w:r w:rsidRPr="00B320F0">
        <w:rPr>
          <w:rFonts w:ascii="Times New Roman" w:hAnsi="Times New Roman"/>
          <w:sz w:val="24"/>
          <w:szCs w:val="24"/>
          <w:lang w:val="en-US"/>
        </w:rPr>
        <w:t>Based on the aim and objectives of the study, the following research hypotheses were formulated:</w:t>
      </w:r>
    </w:p>
    <w:p w:rsidR="00B320F0" w:rsidRPr="00891CB6" w:rsidRDefault="00B320F0" w:rsidP="008938B6">
      <w:pPr>
        <w:ind w:firstLine="567"/>
        <w:rPr>
          <w:rFonts w:ascii="Times New Roman" w:hAnsi="Times New Roman"/>
          <w:sz w:val="24"/>
          <w:szCs w:val="24"/>
          <w:lang w:val="en-US"/>
        </w:rPr>
      </w:pPr>
      <w:r w:rsidRPr="004B67B6">
        <w:rPr>
          <w:rFonts w:ascii="Times New Roman" w:hAnsi="Times New Roman"/>
          <w:bCs/>
          <w:sz w:val="24"/>
          <w:szCs w:val="24"/>
          <w:lang w:val="en-US"/>
        </w:rPr>
        <w:t>Hypothesis 1.</w:t>
      </w:r>
      <w:r w:rsidRPr="004B67B6">
        <w:rPr>
          <w:rFonts w:ascii="Times New Roman" w:hAnsi="Times New Roman"/>
          <w:sz w:val="24"/>
          <w:szCs w:val="24"/>
          <w:lang w:val="en-US"/>
        </w:rPr>
        <w:t xml:space="preserve"> Some volatile organic compounds identified through electrophysiological studies exhibit attractive activity towards adult </w:t>
      </w:r>
      <w:r w:rsidRPr="00695EAF">
        <w:rPr>
          <w:rFonts w:ascii="Times New Roman" w:hAnsi="Times New Roman"/>
          <w:i/>
          <w:iCs/>
          <w:sz w:val="24"/>
          <w:szCs w:val="24"/>
          <w:lang w:val="en-US"/>
        </w:rPr>
        <w:t>Tanymecus dilaticollis</w:t>
      </w:r>
      <w:r w:rsidRPr="00891CB6">
        <w:rPr>
          <w:rFonts w:ascii="Times New Roman" w:hAnsi="Times New Roman"/>
          <w:sz w:val="24"/>
          <w:szCs w:val="24"/>
          <w:lang w:val="en-US"/>
        </w:rPr>
        <w:t xml:space="preserve"> of both sexes.</w:t>
      </w:r>
    </w:p>
    <w:p w:rsidR="00B320F0" w:rsidRPr="00695EAF" w:rsidRDefault="00B320F0" w:rsidP="008938B6">
      <w:pPr>
        <w:ind w:firstLine="567"/>
        <w:rPr>
          <w:rFonts w:ascii="Times New Roman" w:hAnsi="Times New Roman"/>
          <w:sz w:val="24"/>
          <w:szCs w:val="24"/>
          <w:lang w:val="en-US"/>
        </w:rPr>
      </w:pPr>
      <w:r w:rsidRPr="004B67B6">
        <w:rPr>
          <w:rFonts w:ascii="Times New Roman" w:hAnsi="Times New Roman"/>
          <w:bCs/>
          <w:sz w:val="24"/>
          <w:szCs w:val="24"/>
          <w:lang w:val="en-US"/>
        </w:rPr>
        <w:t>Hypothesis 2.</w:t>
      </w:r>
      <w:r w:rsidRPr="004B67B6">
        <w:rPr>
          <w:rFonts w:ascii="Times New Roman" w:hAnsi="Times New Roman"/>
          <w:sz w:val="24"/>
          <w:szCs w:val="24"/>
          <w:lang w:val="en-US"/>
        </w:rPr>
        <w:t xml:space="preserve"> The efficiency of monitoring overwintered adults of the grey maize weevil can be improved by optimising lure composition, dispenser type, and trap design.</w:t>
      </w:r>
    </w:p>
    <w:p w:rsidR="00B320F0" w:rsidRPr="002220ED" w:rsidRDefault="00B320F0" w:rsidP="008938B6">
      <w:pPr>
        <w:ind w:firstLine="567"/>
        <w:rPr>
          <w:rFonts w:ascii="Times New Roman" w:hAnsi="Times New Roman"/>
          <w:sz w:val="24"/>
          <w:szCs w:val="24"/>
          <w:lang w:val="en-US"/>
        </w:rPr>
      </w:pPr>
      <w:r w:rsidRPr="004B67B6">
        <w:rPr>
          <w:rFonts w:ascii="Times New Roman" w:hAnsi="Times New Roman"/>
          <w:bCs/>
          <w:sz w:val="24"/>
          <w:szCs w:val="24"/>
          <w:lang w:val="en-US"/>
        </w:rPr>
        <w:t>Hypothesis 3.</w:t>
      </w:r>
      <w:r w:rsidRPr="004B67B6">
        <w:rPr>
          <w:rFonts w:ascii="Times New Roman" w:hAnsi="Times New Roman"/>
          <w:sz w:val="24"/>
          <w:szCs w:val="24"/>
          <w:lang w:val="en-US"/>
        </w:rPr>
        <w:t xml:space="preserve"> Traps employing chemical or visual stimuli provide reliable information on the seasonal activity and relative abundance of </w:t>
      </w:r>
      <w:r w:rsidRPr="00695EAF">
        <w:rPr>
          <w:rFonts w:ascii="Times New Roman" w:hAnsi="Times New Roman"/>
          <w:i/>
          <w:iCs/>
          <w:sz w:val="24"/>
          <w:szCs w:val="24"/>
          <w:lang w:val="en-US"/>
        </w:rPr>
        <w:t>Tanymecus dilaticollis</w:t>
      </w:r>
      <w:r w:rsidRPr="00891CB6">
        <w:rPr>
          <w:rFonts w:ascii="Times New Roman" w:hAnsi="Times New Roman"/>
          <w:sz w:val="24"/>
          <w:szCs w:val="24"/>
          <w:lang w:val="en-US"/>
        </w:rPr>
        <w:t xml:space="preserve"> and </w:t>
      </w:r>
      <w:r w:rsidRPr="00891CB6">
        <w:rPr>
          <w:rFonts w:ascii="Times New Roman" w:hAnsi="Times New Roman"/>
          <w:i/>
          <w:iCs/>
          <w:sz w:val="24"/>
          <w:szCs w:val="24"/>
          <w:lang w:val="en-US"/>
        </w:rPr>
        <w:t>Diabrotica virgifera virgifera</w:t>
      </w:r>
      <w:r w:rsidRPr="002220ED">
        <w:rPr>
          <w:rFonts w:ascii="Times New Roman" w:hAnsi="Times New Roman"/>
          <w:sz w:val="24"/>
          <w:szCs w:val="24"/>
          <w:lang w:val="en-US"/>
        </w:rPr>
        <w:t>.</w:t>
      </w:r>
    </w:p>
    <w:p w:rsidR="00B320F0" w:rsidRPr="00891CB6" w:rsidRDefault="00B320F0" w:rsidP="008938B6">
      <w:pPr>
        <w:ind w:firstLine="567"/>
        <w:rPr>
          <w:rFonts w:ascii="Times New Roman" w:hAnsi="Times New Roman"/>
          <w:sz w:val="24"/>
          <w:szCs w:val="24"/>
          <w:lang w:val="en-US"/>
        </w:rPr>
      </w:pPr>
      <w:r w:rsidRPr="004B67B6">
        <w:rPr>
          <w:rFonts w:ascii="Times New Roman" w:hAnsi="Times New Roman"/>
          <w:bCs/>
          <w:sz w:val="24"/>
          <w:szCs w:val="24"/>
          <w:lang w:val="en-US"/>
        </w:rPr>
        <w:lastRenderedPageBreak/>
        <w:t>Hypothesis 4.</w:t>
      </w:r>
      <w:r w:rsidRPr="004B67B6">
        <w:rPr>
          <w:rFonts w:ascii="Times New Roman" w:hAnsi="Times New Roman"/>
          <w:sz w:val="24"/>
          <w:szCs w:val="24"/>
          <w:lang w:val="en-US"/>
        </w:rPr>
        <w:t xml:space="preserve"> Intraspecific chemical communication occurs among adult </w:t>
      </w:r>
      <w:r w:rsidRPr="004B67B6">
        <w:rPr>
          <w:rFonts w:ascii="Times New Roman" w:hAnsi="Times New Roman"/>
          <w:i/>
          <w:iCs/>
          <w:sz w:val="24"/>
          <w:szCs w:val="24"/>
          <w:lang w:val="en-US"/>
        </w:rPr>
        <w:t>Tanymecus dilaticollis</w:t>
      </w:r>
      <w:r w:rsidRPr="00695EAF">
        <w:rPr>
          <w:rFonts w:ascii="Times New Roman" w:hAnsi="Times New Roman"/>
          <w:sz w:val="24"/>
          <w:szCs w:val="24"/>
          <w:lang w:val="en-US"/>
        </w:rPr>
        <w:t>.</w:t>
      </w:r>
    </w:p>
    <w:p w:rsidR="00B320F0" w:rsidRPr="00B320F0" w:rsidRDefault="00B320F0" w:rsidP="008938B6">
      <w:pPr>
        <w:ind w:firstLine="567"/>
        <w:rPr>
          <w:rFonts w:ascii="Times New Roman" w:hAnsi="Times New Roman"/>
          <w:sz w:val="24"/>
          <w:szCs w:val="24"/>
          <w:lang w:val="en-US"/>
        </w:rPr>
      </w:pPr>
      <w:r w:rsidRPr="004B67B6">
        <w:rPr>
          <w:rFonts w:ascii="Times New Roman" w:hAnsi="Times New Roman"/>
          <w:bCs/>
          <w:sz w:val="24"/>
          <w:szCs w:val="24"/>
          <w:lang w:val="en-US"/>
        </w:rPr>
        <w:t>Hypothesis 5.</w:t>
      </w:r>
      <w:r w:rsidRPr="00B320F0">
        <w:rPr>
          <w:rFonts w:ascii="Times New Roman" w:hAnsi="Times New Roman"/>
          <w:sz w:val="24"/>
          <w:szCs w:val="24"/>
          <w:lang w:val="en-US"/>
        </w:rPr>
        <w:t xml:space="preserve"> Entomopathogenic fungi, entomopathogenic nematodes, and natural essential oils have the potential to reduce populations of </w:t>
      </w:r>
      <w:r w:rsidRPr="00B320F0">
        <w:rPr>
          <w:rFonts w:ascii="Times New Roman" w:hAnsi="Times New Roman"/>
          <w:i/>
          <w:iCs/>
          <w:sz w:val="24"/>
          <w:szCs w:val="24"/>
          <w:lang w:val="en-US"/>
        </w:rPr>
        <w:t>Tanymecus dilaticollis</w:t>
      </w:r>
      <w:r w:rsidRPr="00B320F0">
        <w:rPr>
          <w:rFonts w:ascii="Times New Roman" w:hAnsi="Times New Roman"/>
          <w:sz w:val="24"/>
          <w:szCs w:val="24"/>
          <w:lang w:val="en-US"/>
        </w:rPr>
        <w:t xml:space="preserve">, </w:t>
      </w:r>
      <w:r w:rsidRPr="00B320F0">
        <w:rPr>
          <w:rFonts w:ascii="Times New Roman" w:hAnsi="Times New Roman"/>
          <w:i/>
          <w:iCs/>
          <w:sz w:val="24"/>
          <w:szCs w:val="24"/>
          <w:lang w:val="en-US"/>
        </w:rPr>
        <w:t>Diabrotica virgifera virgifera</w:t>
      </w:r>
      <w:r w:rsidRPr="00B320F0">
        <w:rPr>
          <w:rFonts w:ascii="Times New Roman" w:hAnsi="Times New Roman"/>
          <w:sz w:val="24"/>
          <w:szCs w:val="24"/>
          <w:lang w:val="en-US"/>
        </w:rPr>
        <w:t xml:space="preserve">, and </w:t>
      </w:r>
      <w:r w:rsidRPr="00B320F0">
        <w:rPr>
          <w:rFonts w:ascii="Times New Roman" w:hAnsi="Times New Roman"/>
          <w:i/>
          <w:iCs/>
          <w:sz w:val="24"/>
          <w:szCs w:val="24"/>
          <w:lang w:val="en-US"/>
        </w:rPr>
        <w:t>Oulema melanopus</w:t>
      </w:r>
      <w:r w:rsidRPr="00B320F0">
        <w:rPr>
          <w:rFonts w:ascii="Times New Roman" w:hAnsi="Times New Roman"/>
          <w:sz w:val="24"/>
          <w:szCs w:val="24"/>
          <w:lang w:val="en-US"/>
        </w:rPr>
        <w:t>.</w:t>
      </w:r>
    </w:p>
    <w:p w:rsidR="00C01F64" w:rsidRPr="00C01F64" w:rsidRDefault="00C01F64" w:rsidP="00C01F64">
      <w:pPr>
        <w:ind w:firstLine="567"/>
        <w:rPr>
          <w:rFonts w:ascii="Times New Roman" w:hAnsi="Times New Roman"/>
          <w:bCs/>
          <w:sz w:val="24"/>
          <w:szCs w:val="24"/>
          <w:lang w:val="en-US"/>
        </w:rPr>
      </w:pPr>
    </w:p>
    <w:p w:rsidR="00B320F0" w:rsidRDefault="00B320F0" w:rsidP="005A7597">
      <w:pPr>
        <w:spacing w:before="100" w:beforeAutospacing="1" w:after="100" w:afterAutospacing="1" w:line="240" w:lineRule="auto"/>
        <w:ind w:firstLine="0"/>
        <w:jc w:val="center"/>
        <w:outlineLvl w:val="1"/>
        <w:rPr>
          <w:rFonts w:ascii="Times New Roman" w:hAnsi="Times New Roman"/>
          <w:b/>
          <w:bCs/>
          <w:sz w:val="28"/>
          <w:szCs w:val="28"/>
          <w:lang w:val="en-US"/>
        </w:rPr>
      </w:pPr>
      <w:r w:rsidRPr="00B320F0">
        <w:rPr>
          <w:rFonts w:ascii="Times New Roman" w:hAnsi="Times New Roman"/>
          <w:b/>
          <w:bCs/>
          <w:sz w:val="28"/>
          <w:szCs w:val="28"/>
          <w:lang w:val="en-US"/>
        </w:rPr>
        <w:t>3. MATERIALS AND METHODS</w:t>
      </w:r>
    </w:p>
    <w:p w:rsidR="00514E1B" w:rsidRDefault="00514E1B" w:rsidP="00B320F0">
      <w:pPr>
        <w:spacing w:before="100" w:beforeAutospacing="1" w:after="100" w:afterAutospacing="1" w:line="240" w:lineRule="auto"/>
        <w:ind w:firstLine="0"/>
        <w:jc w:val="left"/>
        <w:outlineLvl w:val="2"/>
        <w:rPr>
          <w:rFonts w:ascii="Times New Roman" w:hAnsi="Times New Roman"/>
          <w:b/>
          <w:bCs/>
          <w:sz w:val="27"/>
          <w:szCs w:val="27"/>
        </w:rPr>
      </w:pPr>
    </w:p>
    <w:p w:rsidR="00B320F0" w:rsidRPr="00B320F0" w:rsidRDefault="00B320F0" w:rsidP="00B320F0">
      <w:pPr>
        <w:spacing w:before="100" w:beforeAutospacing="1" w:after="100" w:afterAutospacing="1" w:line="240" w:lineRule="auto"/>
        <w:ind w:firstLine="0"/>
        <w:jc w:val="left"/>
        <w:outlineLvl w:val="2"/>
        <w:rPr>
          <w:rFonts w:ascii="Times New Roman" w:hAnsi="Times New Roman"/>
          <w:b/>
          <w:bCs/>
          <w:sz w:val="27"/>
          <w:szCs w:val="27"/>
          <w:lang w:val="en-US"/>
        </w:rPr>
      </w:pPr>
      <w:r w:rsidRPr="00B320F0">
        <w:rPr>
          <w:rFonts w:ascii="Times New Roman" w:hAnsi="Times New Roman"/>
          <w:b/>
          <w:bCs/>
          <w:sz w:val="27"/>
          <w:szCs w:val="27"/>
          <w:lang w:val="en-US"/>
        </w:rPr>
        <w:t xml:space="preserve">3.1. </w:t>
      </w:r>
      <w:r w:rsidRPr="00B320F0">
        <w:rPr>
          <w:rFonts w:ascii="Times New Roman" w:hAnsi="Times New Roman"/>
          <w:b/>
          <w:bCs/>
          <w:i/>
          <w:iCs/>
          <w:sz w:val="27"/>
          <w:szCs w:val="27"/>
          <w:lang w:val="en-US"/>
        </w:rPr>
        <w:t>Tanymecus dilaticollis</w:t>
      </w:r>
    </w:p>
    <w:p w:rsidR="00B320F0" w:rsidRPr="00B320F0" w:rsidRDefault="00B320F0" w:rsidP="00B320F0">
      <w:pPr>
        <w:spacing w:before="100" w:beforeAutospacing="1" w:after="100" w:afterAutospacing="1" w:line="240" w:lineRule="auto"/>
        <w:ind w:firstLine="0"/>
        <w:jc w:val="left"/>
        <w:outlineLvl w:val="3"/>
        <w:rPr>
          <w:rFonts w:ascii="Times New Roman" w:hAnsi="Times New Roman"/>
          <w:b/>
          <w:bCs/>
          <w:sz w:val="24"/>
          <w:szCs w:val="24"/>
          <w:lang w:val="en-US"/>
        </w:rPr>
      </w:pPr>
      <w:r w:rsidRPr="00B320F0">
        <w:rPr>
          <w:rFonts w:ascii="Times New Roman" w:hAnsi="Times New Roman"/>
          <w:b/>
          <w:bCs/>
          <w:sz w:val="24"/>
          <w:szCs w:val="24"/>
          <w:lang w:val="en-US"/>
        </w:rPr>
        <w:t>3.1.1. Compounds used in trapping experiments</w:t>
      </w:r>
    </w:p>
    <w:p w:rsidR="00B320F0" w:rsidRPr="00B320F0" w:rsidRDefault="00B320F0" w:rsidP="00BF6A3C">
      <w:pPr>
        <w:spacing w:before="100" w:beforeAutospacing="1" w:after="100" w:afterAutospacing="1"/>
        <w:ind w:firstLine="567"/>
        <w:rPr>
          <w:rFonts w:ascii="Times New Roman" w:hAnsi="Times New Roman"/>
          <w:sz w:val="24"/>
          <w:szCs w:val="24"/>
          <w:lang w:val="en-US"/>
        </w:rPr>
      </w:pPr>
      <w:r w:rsidRPr="00B320F0">
        <w:rPr>
          <w:rFonts w:ascii="Times New Roman" w:hAnsi="Times New Roman"/>
          <w:sz w:val="24"/>
          <w:szCs w:val="24"/>
          <w:lang w:val="en-US"/>
        </w:rPr>
        <w:t xml:space="preserve">Synthetic compounds purchased from Sigma–Aldrich® or supplied by scientists from Rothamsted Research (United Kingdom) were used in the field experiments. The purity of all compounds exceeded 95%. The tested compounds included the aliphatic compounds </w:t>
      </w:r>
      <w:r w:rsidRPr="00B320F0">
        <w:rPr>
          <w:rFonts w:ascii="Times New Roman" w:hAnsi="Times New Roman"/>
          <w:i/>
          <w:iCs/>
          <w:sz w:val="24"/>
          <w:szCs w:val="24"/>
          <w:lang w:val="en-US"/>
        </w:rPr>
        <w:t>(E)</w:t>
      </w:r>
      <w:r w:rsidRPr="003D4F9D">
        <w:rPr>
          <w:rFonts w:ascii="Times New Roman" w:hAnsi="Times New Roman"/>
          <w:iCs/>
          <w:sz w:val="24"/>
          <w:szCs w:val="24"/>
          <w:lang w:val="en-US"/>
        </w:rPr>
        <w:t>-2-hexen-1-ol</w:t>
      </w:r>
      <w:r w:rsidRPr="00B320F0">
        <w:rPr>
          <w:rFonts w:ascii="Times New Roman" w:hAnsi="Times New Roman"/>
          <w:sz w:val="24"/>
          <w:szCs w:val="24"/>
          <w:lang w:val="en-US"/>
        </w:rPr>
        <w:t xml:space="preserve"> (E2-6OH), </w:t>
      </w:r>
      <w:r w:rsidRPr="00B320F0">
        <w:rPr>
          <w:rFonts w:ascii="Times New Roman" w:hAnsi="Times New Roman"/>
          <w:i/>
          <w:iCs/>
          <w:sz w:val="24"/>
          <w:szCs w:val="24"/>
          <w:lang w:val="en-US"/>
        </w:rPr>
        <w:t>(Z)-</w:t>
      </w:r>
      <w:r w:rsidRPr="003D4F9D">
        <w:rPr>
          <w:rFonts w:ascii="Times New Roman" w:hAnsi="Times New Roman"/>
          <w:iCs/>
          <w:sz w:val="24"/>
          <w:szCs w:val="24"/>
          <w:lang w:val="en-US"/>
        </w:rPr>
        <w:t>3-hexen-1-ol</w:t>
      </w:r>
      <w:r w:rsidRPr="00B320F0">
        <w:rPr>
          <w:rFonts w:ascii="Times New Roman" w:hAnsi="Times New Roman"/>
          <w:sz w:val="24"/>
          <w:szCs w:val="24"/>
          <w:lang w:val="en-US"/>
        </w:rPr>
        <w:t xml:space="preserve"> (Z3-6OH), </w:t>
      </w:r>
      <w:r w:rsidRPr="00B320F0">
        <w:rPr>
          <w:rFonts w:ascii="Times New Roman" w:hAnsi="Times New Roman"/>
          <w:i/>
          <w:iCs/>
          <w:sz w:val="24"/>
          <w:szCs w:val="24"/>
          <w:lang w:val="en-US"/>
        </w:rPr>
        <w:t>(Z)-</w:t>
      </w:r>
      <w:r w:rsidRPr="003D4F9D">
        <w:rPr>
          <w:rFonts w:ascii="Times New Roman" w:hAnsi="Times New Roman"/>
          <w:iCs/>
          <w:sz w:val="24"/>
          <w:szCs w:val="24"/>
          <w:lang w:val="en-US"/>
        </w:rPr>
        <w:t>3-hexenyl butyrate</w:t>
      </w:r>
      <w:r w:rsidRPr="00B320F0">
        <w:rPr>
          <w:rFonts w:ascii="Times New Roman" w:hAnsi="Times New Roman"/>
          <w:sz w:val="24"/>
          <w:szCs w:val="24"/>
          <w:lang w:val="en-US"/>
        </w:rPr>
        <w:t xml:space="preserve"> (Z3-6Bu), nonanal (9Al), the aromatic compound (±)-linalool (linalool), and the terpene caryophyllene.</w:t>
      </w:r>
    </w:p>
    <w:p w:rsidR="00B320F0" w:rsidRPr="00B320F0" w:rsidRDefault="00B320F0" w:rsidP="003D4F9D">
      <w:pPr>
        <w:spacing w:before="100" w:beforeAutospacing="1" w:after="100" w:afterAutospacing="1"/>
        <w:ind w:firstLine="0"/>
        <w:outlineLvl w:val="3"/>
        <w:rPr>
          <w:rFonts w:ascii="Times New Roman" w:hAnsi="Times New Roman"/>
          <w:b/>
          <w:bCs/>
          <w:sz w:val="24"/>
          <w:szCs w:val="24"/>
          <w:lang w:val="en-US"/>
        </w:rPr>
      </w:pPr>
      <w:r w:rsidRPr="00B320F0">
        <w:rPr>
          <w:rFonts w:ascii="Times New Roman" w:hAnsi="Times New Roman"/>
          <w:b/>
          <w:bCs/>
          <w:sz w:val="24"/>
          <w:szCs w:val="24"/>
          <w:lang w:val="en-US"/>
        </w:rPr>
        <w:t>3.1.2. Lures</w:t>
      </w:r>
    </w:p>
    <w:p w:rsidR="00B320F0" w:rsidRPr="00B320F0" w:rsidRDefault="00B320F0" w:rsidP="00200F91">
      <w:pPr>
        <w:ind w:firstLine="567"/>
        <w:rPr>
          <w:rFonts w:ascii="Times New Roman" w:hAnsi="Times New Roman"/>
          <w:sz w:val="24"/>
          <w:szCs w:val="24"/>
          <w:lang w:val="en-US"/>
        </w:rPr>
      </w:pPr>
      <w:r w:rsidRPr="00B320F0">
        <w:rPr>
          <w:rFonts w:ascii="Times New Roman" w:hAnsi="Times New Roman"/>
          <w:sz w:val="24"/>
          <w:szCs w:val="24"/>
          <w:lang w:val="en-US"/>
        </w:rPr>
        <w:t>The following dispensers were used:</w:t>
      </w:r>
    </w:p>
    <w:p w:rsidR="00B320F0" w:rsidRPr="00B320F0" w:rsidRDefault="00B320F0" w:rsidP="00200F91">
      <w:pPr>
        <w:numPr>
          <w:ilvl w:val="0"/>
          <w:numId w:val="20"/>
        </w:numPr>
        <w:ind w:left="113" w:firstLine="567"/>
        <w:rPr>
          <w:rFonts w:ascii="Times New Roman" w:hAnsi="Times New Roman"/>
          <w:sz w:val="24"/>
          <w:szCs w:val="24"/>
          <w:lang w:val="en-US"/>
        </w:rPr>
      </w:pPr>
      <w:r w:rsidRPr="00B320F0">
        <w:rPr>
          <w:rFonts w:ascii="Times New Roman" w:hAnsi="Times New Roman"/>
          <w:sz w:val="24"/>
          <w:szCs w:val="24"/>
          <w:lang w:val="en-US"/>
        </w:rPr>
        <w:t>Dental cotton rolls (Celluron®, Paul Hartmann AG, Heidenheim, Germany) enclosed in polyethylene bags made of 0.02-mm linear polyethylene film and pre-mounted on plastic holders (8 × 1 cm) (PE cotton dispensers);</w:t>
      </w:r>
    </w:p>
    <w:p w:rsidR="00B320F0" w:rsidRPr="00B320F0" w:rsidRDefault="00B320F0" w:rsidP="003D4F9D">
      <w:pPr>
        <w:numPr>
          <w:ilvl w:val="0"/>
          <w:numId w:val="20"/>
        </w:numPr>
        <w:ind w:left="113" w:firstLine="567"/>
        <w:rPr>
          <w:rFonts w:ascii="Times New Roman" w:hAnsi="Times New Roman"/>
          <w:sz w:val="24"/>
          <w:szCs w:val="24"/>
          <w:lang w:val="en-US"/>
        </w:rPr>
      </w:pPr>
      <w:r w:rsidRPr="00B320F0">
        <w:rPr>
          <w:rFonts w:ascii="Times New Roman" w:hAnsi="Times New Roman"/>
          <w:sz w:val="24"/>
          <w:szCs w:val="24"/>
          <w:lang w:val="en-US"/>
        </w:rPr>
        <w:t xml:space="preserve">Polyethylene </w:t>
      </w:r>
      <w:r w:rsidR="000D320B">
        <w:rPr>
          <w:rFonts w:ascii="Times New Roman" w:hAnsi="Times New Roman"/>
          <w:sz w:val="24"/>
          <w:szCs w:val="24"/>
          <w:lang w:val="en-US"/>
        </w:rPr>
        <w:t>containers</w:t>
      </w:r>
      <w:r w:rsidR="000D320B" w:rsidRPr="00B320F0">
        <w:rPr>
          <w:rFonts w:ascii="Times New Roman" w:hAnsi="Times New Roman"/>
          <w:sz w:val="24"/>
          <w:szCs w:val="24"/>
          <w:lang w:val="en-US"/>
        </w:rPr>
        <w:t xml:space="preserve"> </w:t>
      </w:r>
      <w:r w:rsidRPr="00B320F0">
        <w:rPr>
          <w:rFonts w:ascii="Times New Roman" w:hAnsi="Times New Roman"/>
          <w:sz w:val="24"/>
          <w:szCs w:val="24"/>
          <w:lang w:val="en-US"/>
        </w:rPr>
        <w:t>with lids</w:t>
      </w:r>
      <w:r w:rsidR="000D320B">
        <w:rPr>
          <w:rFonts w:ascii="Times New Roman" w:hAnsi="Times New Roman"/>
          <w:sz w:val="24"/>
          <w:szCs w:val="24"/>
          <w:lang w:val="en-US"/>
        </w:rPr>
        <w:t xml:space="preserve">, </w:t>
      </w:r>
      <w:r w:rsidRPr="00B320F0">
        <w:rPr>
          <w:rFonts w:ascii="Times New Roman" w:hAnsi="Times New Roman"/>
          <w:sz w:val="24"/>
          <w:szCs w:val="24"/>
          <w:lang w:val="en-US"/>
        </w:rPr>
        <w:t>2.5 ml</w:t>
      </w:r>
      <w:r w:rsidR="000D320B">
        <w:rPr>
          <w:rFonts w:ascii="Times New Roman" w:hAnsi="Times New Roman"/>
          <w:sz w:val="24"/>
          <w:szCs w:val="24"/>
          <w:lang w:val="en-US"/>
        </w:rPr>
        <w:t xml:space="preserve"> (</w:t>
      </w:r>
      <w:r w:rsidRPr="00B320F0">
        <w:rPr>
          <w:rFonts w:ascii="Times New Roman" w:hAnsi="Times New Roman"/>
          <w:sz w:val="24"/>
          <w:szCs w:val="24"/>
          <w:lang w:val="en-US"/>
        </w:rPr>
        <w:t xml:space="preserve">Just Plastics Ltd, United Kingdom) (Just Plastics PE </w:t>
      </w:r>
      <w:r w:rsidR="000D320B">
        <w:rPr>
          <w:rFonts w:ascii="Times New Roman" w:hAnsi="Times New Roman"/>
          <w:sz w:val="24"/>
          <w:szCs w:val="24"/>
          <w:lang w:val="en-US"/>
        </w:rPr>
        <w:t>container</w:t>
      </w:r>
      <w:r w:rsidR="000D320B" w:rsidRPr="00B320F0">
        <w:rPr>
          <w:rFonts w:ascii="Times New Roman" w:hAnsi="Times New Roman"/>
          <w:sz w:val="24"/>
          <w:szCs w:val="24"/>
          <w:lang w:val="en-US"/>
        </w:rPr>
        <w:t>s</w:t>
      </w:r>
      <w:r w:rsidRPr="00B320F0">
        <w:rPr>
          <w:rFonts w:ascii="Times New Roman" w:hAnsi="Times New Roman"/>
          <w:sz w:val="24"/>
          <w:szCs w:val="24"/>
          <w:lang w:val="en-US"/>
        </w:rPr>
        <w:t>, 2.5 ml);</w:t>
      </w:r>
    </w:p>
    <w:p w:rsidR="00B320F0" w:rsidRPr="00B320F0" w:rsidRDefault="00B320F0" w:rsidP="00573F93">
      <w:pPr>
        <w:numPr>
          <w:ilvl w:val="0"/>
          <w:numId w:val="20"/>
        </w:numPr>
        <w:rPr>
          <w:rFonts w:ascii="Times New Roman" w:hAnsi="Times New Roman"/>
          <w:sz w:val="24"/>
          <w:szCs w:val="24"/>
          <w:lang w:val="en-US"/>
        </w:rPr>
      </w:pPr>
      <w:r w:rsidRPr="00B320F0">
        <w:rPr>
          <w:rFonts w:ascii="Times New Roman" w:hAnsi="Times New Roman"/>
          <w:sz w:val="24"/>
          <w:szCs w:val="24"/>
          <w:lang w:val="en-US"/>
        </w:rPr>
        <w:t xml:space="preserve">Polyethylene </w:t>
      </w:r>
      <w:r w:rsidR="00865E6B">
        <w:rPr>
          <w:rFonts w:ascii="Times New Roman" w:hAnsi="Times New Roman"/>
          <w:sz w:val="24"/>
          <w:szCs w:val="24"/>
          <w:lang w:val="en-US"/>
        </w:rPr>
        <w:t>vials</w:t>
      </w:r>
      <w:r w:rsidR="00865E6B" w:rsidRPr="00B320F0">
        <w:rPr>
          <w:rFonts w:ascii="Times New Roman" w:hAnsi="Times New Roman"/>
          <w:sz w:val="24"/>
          <w:szCs w:val="24"/>
          <w:lang w:val="en-US"/>
        </w:rPr>
        <w:t xml:space="preserve"> </w:t>
      </w:r>
      <w:r w:rsidRPr="00B320F0">
        <w:rPr>
          <w:rFonts w:ascii="Times New Roman" w:hAnsi="Times New Roman"/>
          <w:sz w:val="24"/>
          <w:szCs w:val="24"/>
          <w:lang w:val="en-US"/>
        </w:rPr>
        <w:t>with lids</w:t>
      </w:r>
      <w:r w:rsidR="00865E6B">
        <w:rPr>
          <w:rFonts w:ascii="Times New Roman" w:hAnsi="Times New Roman"/>
          <w:sz w:val="24"/>
          <w:szCs w:val="24"/>
          <w:lang w:val="en-US"/>
        </w:rPr>
        <w:t xml:space="preserve">, </w:t>
      </w:r>
      <w:r w:rsidRPr="00B320F0">
        <w:rPr>
          <w:rFonts w:ascii="Times New Roman" w:hAnsi="Times New Roman"/>
          <w:sz w:val="24"/>
          <w:szCs w:val="24"/>
          <w:lang w:val="en-US"/>
        </w:rPr>
        <w:t>1 ml</w:t>
      </w:r>
      <w:r w:rsidR="00865E6B">
        <w:rPr>
          <w:rFonts w:ascii="Times New Roman" w:hAnsi="Times New Roman"/>
          <w:sz w:val="24"/>
          <w:szCs w:val="24"/>
          <w:lang w:val="en-US"/>
        </w:rPr>
        <w:t xml:space="preserve"> (</w:t>
      </w:r>
      <w:r w:rsidRPr="00B320F0">
        <w:rPr>
          <w:rFonts w:ascii="Times New Roman" w:hAnsi="Times New Roman"/>
          <w:sz w:val="24"/>
          <w:szCs w:val="24"/>
          <w:lang w:val="en-US"/>
        </w:rPr>
        <w:t>Kartell</w:t>
      </w:r>
      <w:r w:rsidR="00573F93" w:rsidRPr="00573F93">
        <w:rPr>
          <w:rFonts w:ascii="Times New Roman" w:hAnsi="Times New Roman"/>
          <w:sz w:val="24"/>
          <w:szCs w:val="24"/>
          <w:lang w:val="en-US"/>
        </w:rPr>
        <w:t>®, Italy</w:t>
      </w:r>
      <w:r w:rsidRPr="00B320F0">
        <w:rPr>
          <w:rFonts w:ascii="Times New Roman" w:hAnsi="Times New Roman"/>
          <w:sz w:val="24"/>
          <w:szCs w:val="24"/>
          <w:lang w:val="en-US"/>
        </w:rPr>
        <w:t xml:space="preserve">) (Kartell PE </w:t>
      </w:r>
      <w:r w:rsidR="00865E6B">
        <w:rPr>
          <w:rFonts w:ascii="Times New Roman" w:hAnsi="Times New Roman"/>
          <w:sz w:val="24"/>
          <w:szCs w:val="24"/>
          <w:lang w:val="en-US"/>
        </w:rPr>
        <w:t>vials</w:t>
      </w:r>
      <w:r w:rsidRPr="00B320F0">
        <w:rPr>
          <w:rFonts w:ascii="Times New Roman" w:hAnsi="Times New Roman"/>
          <w:sz w:val="24"/>
          <w:szCs w:val="24"/>
          <w:lang w:val="en-US"/>
        </w:rPr>
        <w:t>, 1 ml).</w:t>
      </w:r>
    </w:p>
    <w:p w:rsidR="00B320F0" w:rsidRPr="00B320F0" w:rsidRDefault="00B320F0" w:rsidP="00BF6A3C">
      <w:pPr>
        <w:spacing w:before="100" w:beforeAutospacing="1" w:after="100" w:afterAutospacing="1"/>
        <w:ind w:firstLine="567"/>
        <w:rPr>
          <w:rFonts w:ascii="Times New Roman" w:hAnsi="Times New Roman"/>
          <w:sz w:val="24"/>
          <w:szCs w:val="24"/>
          <w:lang w:val="en-US"/>
        </w:rPr>
      </w:pPr>
      <w:r w:rsidRPr="00B320F0">
        <w:rPr>
          <w:rFonts w:ascii="Times New Roman" w:hAnsi="Times New Roman"/>
          <w:sz w:val="24"/>
          <w:szCs w:val="24"/>
          <w:lang w:val="en-US"/>
        </w:rPr>
        <w:t>The compounds were applied individually or as mixtures to the dispensers in 100 μl aliquots using an automatic micropipette fitted with disposable tips. The only exception was the experiment evaluating different ratios of two compounds.</w:t>
      </w:r>
    </w:p>
    <w:p w:rsidR="00B320F0" w:rsidRPr="00B320F0" w:rsidRDefault="00B320F0" w:rsidP="003D4F9D">
      <w:pPr>
        <w:spacing w:before="100" w:beforeAutospacing="1" w:after="100" w:afterAutospacing="1"/>
        <w:ind w:firstLine="0"/>
        <w:outlineLvl w:val="3"/>
        <w:rPr>
          <w:rFonts w:ascii="Times New Roman" w:hAnsi="Times New Roman"/>
          <w:b/>
          <w:bCs/>
          <w:sz w:val="24"/>
          <w:szCs w:val="24"/>
          <w:lang w:val="en-US"/>
        </w:rPr>
      </w:pPr>
      <w:r w:rsidRPr="00B320F0">
        <w:rPr>
          <w:rFonts w:ascii="Times New Roman" w:hAnsi="Times New Roman"/>
          <w:b/>
          <w:bCs/>
          <w:sz w:val="24"/>
          <w:szCs w:val="24"/>
          <w:lang w:val="en-US"/>
        </w:rPr>
        <w:lastRenderedPageBreak/>
        <w:t>3.1.3. Traps</w:t>
      </w:r>
    </w:p>
    <w:p w:rsidR="00B320F0" w:rsidRPr="00B320F0" w:rsidRDefault="00B320F0" w:rsidP="003D4F9D">
      <w:pPr>
        <w:spacing w:before="100" w:beforeAutospacing="1" w:after="100" w:afterAutospacing="1"/>
        <w:ind w:firstLine="567"/>
        <w:rPr>
          <w:rFonts w:ascii="Times New Roman" w:hAnsi="Times New Roman"/>
          <w:sz w:val="24"/>
          <w:szCs w:val="24"/>
          <w:lang w:val="en-US"/>
        </w:rPr>
      </w:pPr>
      <w:r w:rsidRPr="00B320F0">
        <w:rPr>
          <w:rFonts w:ascii="Times New Roman" w:hAnsi="Times New Roman"/>
          <w:sz w:val="24"/>
          <w:szCs w:val="24"/>
          <w:lang w:val="en-US"/>
        </w:rPr>
        <w:t>TAL traps (CSALOMON®, Hungary) were used in most experiments. The lure dispensers were attached beneath the transparent roof of the trap. The collecting container was buried in the soil to a depth corresponding to its height. A rectangular sheet (16 × 10 cm) of transparent PVC film coated with a water-insoluble insect adhesive (Tanglefoot®, USA) was placed at the bottom of the trap as the killing agent.</w:t>
      </w:r>
    </w:p>
    <w:p w:rsidR="00B320F0" w:rsidRPr="00B320F0" w:rsidRDefault="00B320F0" w:rsidP="003D4F9D">
      <w:pPr>
        <w:spacing w:before="100" w:beforeAutospacing="1" w:after="100" w:afterAutospacing="1"/>
        <w:ind w:firstLine="0"/>
        <w:outlineLvl w:val="3"/>
        <w:rPr>
          <w:rFonts w:ascii="Times New Roman" w:hAnsi="Times New Roman"/>
          <w:b/>
          <w:bCs/>
          <w:sz w:val="24"/>
          <w:szCs w:val="24"/>
          <w:lang w:val="en-US"/>
        </w:rPr>
      </w:pPr>
      <w:r w:rsidRPr="00B320F0">
        <w:rPr>
          <w:rFonts w:ascii="Times New Roman" w:hAnsi="Times New Roman"/>
          <w:b/>
          <w:bCs/>
          <w:sz w:val="24"/>
          <w:szCs w:val="24"/>
          <w:lang w:val="en-US"/>
        </w:rPr>
        <w:t>3.1.4. Trapping experiments</w:t>
      </w:r>
    </w:p>
    <w:p w:rsidR="00B320F0" w:rsidRPr="00B320F0" w:rsidRDefault="00B320F0" w:rsidP="00C2059B">
      <w:pPr>
        <w:ind w:firstLine="567"/>
        <w:rPr>
          <w:rFonts w:ascii="Times New Roman" w:hAnsi="Times New Roman"/>
          <w:sz w:val="24"/>
          <w:szCs w:val="24"/>
          <w:lang w:val="en-US"/>
        </w:rPr>
      </w:pPr>
      <w:r w:rsidRPr="00B320F0">
        <w:rPr>
          <w:rFonts w:ascii="Times New Roman" w:hAnsi="Times New Roman"/>
          <w:sz w:val="24"/>
          <w:szCs w:val="24"/>
          <w:lang w:val="en-US"/>
        </w:rPr>
        <w:t>The field experiments were conducted with three or four replicates arranged in blocks, each containing all lure and/or trap treatments. Unbaited traps served as controls in all experiments. The distance between traps within each block exceeded 7 m, while the distance between blocks ranged from 30 to 40 m. Trap catches were recorded at intervals of 1–3 days.</w:t>
      </w:r>
      <w:r w:rsidR="005A7597">
        <w:rPr>
          <w:rFonts w:ascii="Times New Roman" w:hAnsi="Times New Roman"/>
          <w:sz w:val="24"/>
          <w:szCs w:val="24"/>
        </w:rPr>
        <w:t xml:space="preserve"> </w:t>
      </w:r>
      <w:r w:rsidRPr="00B320F0">
        <w:rPr>
          <w:rFonts w:ascii="Times New Roman" w:hAnsi="Times New Roman"/>
          <w:sz w:val="24"/>
          <w:szCs w:val="24"/>
          <w:lang w:val="en-US"/>
        </w:rPr>
        <w:t xml:space="preserve">Data obtained from regular inspections of TAL sticky traps baited with synthetic plant-derived compounds during the 2009, 2011, and 2013 field experiments were used to monitor the seasonal activity of overwintered adults of the grey maize weevil. Detailed descriptions of the experiments are presented in Section 4, </w:t>
      </w:r>
      <w:r w:rsidR="00C2059B">
        <w:rPr>
          <w:rFonts w:ascii="Times New Roman" w:hAnsi="Times New Roman"/>
          <w:sz w:val="24"/>
          <w:szCs w:val="24"/>
          <w:lang w:val="en-US"/>
        </w:rPr>
        <w:t>“</w:t>
      </w:r>
      <w:r w:rsidRPr="00B320F0">
        <w:rPr>
          <w:rFonts w:ascii="Times New Roman" w:hAnsi="Times New Roman"/>
          <w:i/>
          <w:iCs/>
          <w:sz w:val="24"/>
          <w:szCs w:val="24"/>
          <w:lang w:val="en-US"/>
        </w:rPr>
        <w:t>Results and Discussion</w:t>
      </w:r>
      <w:r w:rsidR="00C2059B">
        <w:rPr>
          <w:rFonts w:ascii="Times New Roman" w:hAnsi="Times New Roman"/>
          <w:i/>
          <w:iCs/>
          <w:sz w:val="24"/>
          <w:szCs w:val="24"/>
          <w:lang w:val="en-US"/>
        </w:rPr>
        <w:t>”</w:t>
      </w:r>
      <w:r w:rsidRPr="00B320F0">
        <w:rPr>
          <w:rFonts w:ascii="Times New Roman" w:hAnsi="Times New Roman"/>
          <w:sz w:val="24"/>
          <w:szCs w:val="24"/>
          <w:lang w:val="en-US"/>
        </w:rPr>
        <w:t>.</w:t>
      </w:r>
    </w:p>
    <w:p w:rsidR="00B320F0" w:rsidRPr="00B320F0" w:rsidRDefault="00B320F0" w:rsidP="00C2059B">
      <w:pPr>
        <w:ind w:firstLine="567"/>
        <w:rPr>
          <w:rFonts w:ascii="Times New Roman" w:hAnsi="Times New Roman"/>
          <w:sz w:val="24"/>
          <w:szCs w:val="24"/>
          <w:lang w:val="en-US"/>
        </w:rPr>
      </w:pPr>
      <w:r w:rsidRPr="00B320F0">
        <w:rPr>
          <w:rFonts w:ascii="Times New Roman" w:hAnsi="Times New Roman"/>
          <w:sz w:val="24"/>
          <w:szCs w:val="24"/>
          <w:lang w:val="en-US"/>
        </w:rPr>
        <w:t>Species identification was performed using the taxonomic keys of Angelov (1978, 1980).</w:t>
      </w:r>
    </w:p>
    <w:p w:rsidR="00B320F0" w:rsidRPr="00B320F0" w:rsidRDefault="00B320F0" w:rsidP="00BF6A3C">
      <w:pPr>
        <w:spacing w:before="100" w:beforeAutospacing="1" w:after="100" w:afterAutospacing="1"/>
        <w:ind w:firstLine="0"/>
        <w:outlineLvl w:val="3"/>
        <w:rPr>
          <w:rFonts w:ascii="Times New Roman" w:hAnsi="Times New Roman"/>
          <w:b/>
          <w:bCs/>
          <w:sz w:val="24"/>
          <w:szCs w:val="24"/>
          <w:lang w:val="en-US"/>
        </w:rPr>
      </w:pPr>
      <w:r w:rsidRPr="00B320F0">
        <w:rPr>
          <w:rFonts w:ascii="Times New Roman" w:hAnsi="Times New Roman"/>
          <w:b/>
          <w:bCs/>
          <w:sz w:val="24"/>
          <w:szCs w:val="24"/>
          <w:lang w:val="en-US"/>
        </w:rPr>
        <w:t xml:space="preserve">3.1.5. Evaluation of the efficacy of the bioinsecticide Naturalis against </w:t>
      </w:r>
      <w:r w:rsidRPr="00B320F0">
        <w:rPr>
          <w:rFonts w:ascii="Times New Roman" w:hAnsi="Times New Roman"/>
          <w:b/>
          <w:bCs/>
          <w:i/>
          <w:iCs/>
          <w:sz w:val="24"/>
          <w:szCs w:val="24"/>
          <w:lang w:val="en-US"/>
        </w:rPr>
        <w:t>Tanymecus dilaticollis</w:t>
      </w:r>
      <w:r w:rsidRPr="00B320F0">
        <w:rPr>
          <w:rFonts w:ascii="Times New Roman" w:hAnsi="Times New Roman"/>
          <w:b/>
          <w:bCs/>
          <w:sz w:val="24"/>
          <w:szCs w:val="24"/>
          <w:lang w:val="en-US"/>
        </w:rPr>
        <w:t xml:space="preserve"> under field conditions</w:t>
      </w:r>
    </w:p>
    <w:p w:rsidR="00B320F0" w:rsidRPr="00B320F0" w:rsidRDefault="00B320F0" w:rsidP="00BF6A3C">
      <w:pPr>
        <w:ind w:firstLine="567"/>
        <w:rPr>
          <w:rFonts w:ascii="Times New Roman" w:hAnsi="Times New Roman"/>
          <w:sz w:val="24"/>
          <w:szCs w:val="24"/>
          <w:lang w:val="en-US"/>
        </w:rPr>
      </w:pPr>
      <w:r w:rsidRPr="00B320F0">
        <w:rPr>
          <w:rFonts w:ascii="Times New Roman" w:hAnsi="Times New Roman"/>
          <w:sz w:val="24"/>
          <w:szCs w:val="24"/>
          <w:lang w:val="en-US"/>
        </w:rPr>
        <w:t>The efficacy of the bioinsecticide Naturalis (CBC (Europe) S.r.l., Italy) against adult grey maize weevils was evaluated under field conditions between 3 May and 4 June 2021. Three treatments, each with three replicates, were tested in maize plots:</w:t>
      </w:r>
    </w:p>
    <w:p w:rsidR="00B320F0" w:rsidRPr="00B320F0" w:rsidRDefault="00B320F0" w:rsidP="00BF6A3C">
      <w:pPr>
        <w:numPr>
          <w:ilvl w:val="0"/>
          <w:numId w:val="21"/>
        </w:numPr>
        <w:ind w:firstLine="567"/>
        <w:rPr>
          <w:rFonts w:ascii="Times New Roman" w:hAnsi="Times New Roman"/>
          <w:sz w:val="24"/>
          <w:szCs w:val="24"/>
          <w:lang w:val="en-US"/>
        </w:rPr>
      </w:pPr>
      <w:r w:rsidRPr="00B320F0">
        <w:rPr>
          <w:rFonts w:ascii="Times New Roman" w:hAnsi="Times New Roman"/>
          <w:sz w:val="24"/>
          <w:szCs w:val="24"/>
          <w:lang w:val="en-US"/>
        </w:rPr>
        <w:t>Naturalis at 200 ml/da;</w:t>
      </w:r>
    </w:p>
    <w:p w:rsidR="00B320F0" w:rsidRPr="00B320F0" w:rsidRDefault="00B320F0" w:rsidP="00BF6A3C">
      <w:pPr>
        <w:numPr>
          <w:ilvl w:val="0"/>
          <w:numId w:val="21"/>
        </w:numPr>
        <w:ind w:firstLine="567"/>
        <w:rPr>
          <w:rFonts w:ascii="Times New Roman" w:hAnsi="Times New Roman"/>
          <w:sz w:val="24"/>
          <w:szCs w:val="24"/>
          <w:lang w:val="en-US"/>
        </w:rPr>
      </w:pPr>
      <w:r w:rsidRPr="00B320F0">
        <w:rPr>
          <w:rFonts w:ascii="Times New Roman" w:hAnsi="Times New Roman"/>
          <w:sz w:val="24"/>
          <w:szCs w:val="24"/>
          <w:lang w:val="en-US"/>
        </w:rPr>
        <w:t>Naturalis at 100 ml/da;</w:t>
      </w:r>
    </w:p>
    <w:p w:rsidR="00B320F0" w:rsidRPr="00B320F0" w:rsidRDefault="00B320F0" w:rsidP="00BF6A3C">
      <w:pPr>
        <w:numPr>
          <w:ilvl w:val="0"/>
          <w:numId w:val="21"/>
        </w:numPr>
        <w:ind w:firstLine="567"/>
        <w:rPr>
          <w:rFonts w:ascii="Times New Roman" w:hAnsi="Times New Roman"/>
          <w:sz w:val="24"/>
          <w:szCs w:val="24"/>
          <w:lang w:val="en-US"/>
        </w:rPr>
      </w:pPr>
      <w:r w:rsidRPr="00B320F0">
        <w:rPr>
          <w:rFonts w:ascii="Times New Roman" w:hAnsi="Times New Roman"/>
          <w:sz w:val="24"/>
          <w:szCs w:val="24"/>
          <w:lang w:val="en-US"/>
        </w:rPr>
        <w:t>Control (tap water).</w:t>
      </w:r>
    </w:p>
    <w:p w:rsidR="00B320F0" w:rsidRPr="00B320F0" w:rsidRDefault="00B320F0" w:rsidP="00C2059B">
      <w:pPr>
        <w:spacing w:before="100" w:beforeAutospacing="1" w:after="100" w:afterAutospacing="1"/>
        <w:ind w:firstLine="567"/>
        <w:rPr>
          <w:rFonts w:ascii="Times New Roman" w:hAnsi="Times New Roman"/>
          <w:sz w:val="24"/>
          <w:szCs w:val="24"/>
          <w:lang w:val="en-US"/>
        </w:rPr>
      </w:pPr>
      <w:r w:rsidRPr="00B320F0">
        <w:rPr>
          <w:rFonts w:ascii="Times New Roman" w:hAnsi="Times New Roman"/>
          <w:sz w:val="24"/>
          <w:szCs w:val="24"/>
          <w:lang w:val="en-US"/>
        </w:rPr>
        <w:t xml:space="preserve">The experiment was arranged according to a Latin square design. Individual experimental plots measured 42 m², with 3-m buffer zones between blocks. The total experimental area was 630 m². The maize hybrid </w:t>
      </w:r>
      <w:r w:rsidR="00C2059B">
        <w:rPr>
          <w:rFonts w:ascii="Times New Roman" w:hAnsi="Times New Roman"/>
          <w:sz w:val="24"/>
          <w:szCs w:val="24"/>
          <w:lang w:val="en-US"/>
        </w:rPr>
        <w:t>Kn</w:t>
      </w:r>
      <w:r w:rsidRPr="00B320F0">
        <w:rPr>
          <w:rFonts w:ascii="Times New Roman" w:hAnsi="Times New Roman"/>
          <w:sz w:val="24"/>
          <w:szCs w:val="24"/>
          <w:lang w:val="en-US"/>
        </w:rPr>
        <w:t>-442 was used throughout the experiment.</w:t>
      </w:r>
    </w:p>
    <w:p w:rsidR="00B320F0" w:rsidRPr="00B320F0" w:rsidRDefault="00B320F0" w:rsidP="002220ED">
      <w:pPr>
        <w:spacing w:before="100" w:beforeAutospacing="1" w:after="100" w:afterAutospacing="1"/>
        <w:ind w:firstLine="0"/>
        <w:outlineLvl w:val="3"/>
        <w:rPr>
          <w:rFonts w:ascii="Times New Roman" w:hAnsi="Times New Roman"/>
          <w:b/>
          <w:bCs/>
          <w:sz w:val="24"/>
          <w:szCs w:val="24"/>
          <w:lang w:val="en-US"/>
        </w:rPr>
      </w:pPr>
      <w:r w:rsidRPr="00B320F0">
        <w:rPr>
          <w:rFonts w:ascii="Times New Roman" w:hAnsi="Times New Roman"/>
          <w:b/>
          <w:bCs/>
          <w:sz w:val="24"/>
          <w:szCs w:val="24"/>
          <w:lang w:val="en-US"/>
        </w:rPr>
        <w:lastRenderedPageBreak/>
        <w:t xml:space="preserve">3.1.6. Effect of white oregano essential oil on adult </w:t>
      </w:r>
      <w:r w:rsidRPr="00B320F0">
        <w:rPr>
          <w:rFonts w:ascii="Times New Roman" w:hAnsi="Times New Roman"/>
          <w:b/>
          <w:bCs/>
          <w:i/>
          <w:iCs/>
          <w:sz w:val="24"/>
          <w:szCs w:val="24"/>
          <w:lang w:val="en-US"/>
        </w:rPr>
        <w:t>Tanymecus dilaticollis</w:t>
      </w:r>
      <w:r w:rsidRPr="00B320F0">
        <w:rPr>
          <w:rFonts w:ascii="Times New Roman" w:hAnsi="Times New Roman"/>
          <w:b/>
          <w:bCs/>
          <w:sz w:val="24"/>
          <w:szCs w:val="24"/>
          <w:lang w:val="en-US"/>
        </w:rPr>
        <w:t xml:space="preserve"> under laboratory conditions</w:t>
      </w:r>
    </w:p>
    <w:p w:rsidR="00B320F0" w:rsidRPr="00B320F0" w:rsidRDefault="00B320F0" w:rsidP="00C2059B">
      <w:pPr>
        <w:spacing w:before="100" w:beforeAutospacing="1" w:after="100" w:afterAutospacing="1"/>
        <w:ind w:firstLine="567"/>
        <w:rPr>
          <w:rFonts w:ascii="Times New Roman" w:hAnsi="Times New Roman"/>
          <w:sz w:val="24"/>
          <w:szCs w:val="24"/>
          <w:lang w:val="en-US"/>
        </w:rPr>
      </w:pPr>
      <w:r w:rsidRPr="00B320F0">
        <w:rPr>
          <w:rFonts w:ascii="Times New Roman" w:hAnsi="Times New Roman"/>
          <w:sz w:val="24"/>
          <w:szCs w:val="24"/>
          <w:lang w:val="en-US"/>
        </w:rPr>
        <w:t>Two parallel laboratory experiments were conducted between 25 April and 4 May 2022 to evaluate the effect of white oregano</w:t>
      </w:r>
      <w:r w:rsidR="00C2059B">
        <w:rPr>
          <w:rFonts w:ascii="Times New Roman" w:hAnsi="Times New Roman"/>
          <w:sz w:val="24"/>
          <w:szCs w:val="24"/>
          <w:lang w:val="en-US"/>
        </w:rPr>
        <w:t xml:space="preserve">, </w:t>
      </w:r>
      <w:r w:rsidR="00C2059B" w:rsidRPr="00BF6A3C">
        <w:rPr>
          <w:rFonts w:ascii="Times New Roman" w:hAnsi="Times New Roman"/>
          <w:i/>
          <w:sz w:val="24"/>
          <w:szCs w:val="24"/>
          <w:lang w:val="en-US"/>
        </w:rPr>
        <w:t>Origanum vulgare</w:t>
      </w:r>
      <w:r w:rsidR="00C2059B" w:rsidRPr="00BF6A3C">
        <w:rPr>
          <w:rFonts w:ascii="Times New Roman" w:hAnsi="Times New Roman"/>
          <w:sz w:val="24"/>
          <w:szCs w:val="24"/>
          <w:lang w:val="en-US"/>
        </w:rPr>
        <w:t xml:space="preserve"> ssp. </w:t>
      </w:r>
      <w:r w:rsidR="00C2059B" w:rsidRPr="00BF6A3C">
        <w:rPr>
          <w:rFonts w:ascii="Times New Roman" w:hAnsi="Times New Roman"/>
          <w:i/>
          <w:sz w:val="24"/>
          <w:szCs w:val="24"/>
          <w:lang w:val="en-US"/>
        </w:rPr>
        <w:t>hirtum</w:t>
      </w:r>
      <w:r w:rsidR="00C2059B" w:rsidRPr="00BF6A3C">
        <w:rPr>
          <w:rFonts w:ascii="Times New Roman" w:hAnsi="Times New Roman"/>
          <w:sz w:val="24"/>
          <w:szCs w:val="24"/>
          <w:lang w:val="en-US"/>
        </w:rPr>
        <w:t xml:space="preserve"> (Link) Ietswaart</w:t>
      </w:r>
      <w:r w:rsidR="00E53EFF" w:rsidRPr="0007611C">
        <w:rPr>
          <w:rFonts w:ascii="Times New Roman" w:hAnsi="Times New Roman"/>
          <w:color w:val="FF0000"/>
          <w:sz w:val="24"/>
          <w:szCs w:val="24"/>
          <w:lang w:val="en-US"/>
        </w:rPr>
        <w:t xml:space="preserve"> </w:t>
      </w:r>
      <w:r w:rsidR="00E53EFF">
        <w:rPr>
          <w:rFonts w:ascii="Times New Roman" w:hAnsi="Times New Roman"/>
          <w:sz w:val="24"/>
          <w:szCs w:val="24"/>
          <w:lang w:val="en-US"/>
        </w:rPr>
        <w:t>(</w:t>
      </w:r>
      <w:r w:rsidR="00936263">
        <w:rPr>
          <w:rFonts w:ascii="Times New Roman" w:hAnsi="Times New Roman"/>
          <w:sz w:val="24"/>
          <w:szCs w:val="24"/>
          <w:lang w:val="en-US"/>
        </w:rPr>
        <w:t xml:space="preserve">or </w:t>
      </w:r>
      <w:r w:rsidR="00E53EFF">
        <w:rPr>
          <w:rFonts w:ascii="Times New Roman" w:hAnsi="Times New Roman"/>
          <w:sz w:val="24"/>
          <w:szCs w:val="24"/>
          <w:lang w:val="en-US"/>
        </w:rPr>
        <w:t>Greek oregano)</w:t>
      </w:r>
      <w:r w:rsidR="00C2059B">
        <w:rPr>
          <w:rFonts w:ascii="Times New Roman" w:hAnsi="Times New Roman"/>
          <w:sz w:val="24"/>
          <w:szCs w:val="24"/>
          <w:lang w:val="en-US"/>
        </w:rPr>
        <w:t>,</w:t>
      </w:r>
      <w:r w:rsidR="00C2059B" w:rsidRPr="00C2059B">
        <w:rPr>
          <w:rFonts w:ascii="Times New Roman" w:hAnsi="Times New Roman"/>
          <w:sz w:val="24"/>
          <w:szCs w:val="24"/>
          <w:lang w:val="en-US"/>
        </w:rPr>
        <w:t xml:space="preserve"> </w:t>
      </w:r>
      <w:r w:rsidRPr="00B320F0">
        <w:rPr>
          <w:rFonts w:ascii="Times New Roman" w:hAnsi="Times New Roman"/>
          <w:sz w:val="24"/>
          <w:szCs w:val="24"/>
          <w:lang w:val="en-US"/>
        </w:rPr>
        <w:t>essential oil (EO) on adult grey maize weevils.</w:t>
      </w:r>
      <w:r w:rsidR="005A7597">
        <w:rPr>
          <w:rFonts w:ascii="Times New Roman" w:hAnsi="Times New Roman"/>
          <w:sz w:val="24"/>
          <w:szCs w:val="24"/>
        </w:rPr>
        <w:t xml:space="preserve"> </w:t>
      </w:r>
      <w:r w:rsidRPr="00B320F0">
        <w:rPr>
          <w:rFonts w:ascii="Times New Roman" w:hAnsi="Times New Roman"/>
          <w:sz w:val="24"/>
          <w:szCs w:val="24"/>
          <w:lang w:val="en-US"/>
        </w:rPr>
        <w:t>In the first experiment, 1 ml of each test solution was applied to filter paper discs placed on the bottom of sterile Petri dishes, after which 20 adult insects were introduced into each dish.</w:t>
      </w:r>
      <w:r w:rsidR="005A7597">
        <w:rPr>
          <w:rFonts w:ascii="Times New Roman" w:hAnsi="Times New Roman"/>
          <w:sz w:val="24"/>
          <w:szCs w:val="24"/>
        </w:rPr>
        <w:t xml:space="preserve"> </w:t>
      </w:r>
      <w:r w:rsidRPr="00B320F0">
        <w:rPr>
          <w:rFonts w:ascii="Times New Roman" w:hAnsi="Times New Roman"/>
          <w:sz w:val="24"/>
          <w:szCs w:val="24"/>
          <w:lang w:val="en-US"/>
        </w:rPr>
        <w:t>In the second experiment, 2 μl of each EO concentration was applied directly to each of 20 adult insects, which were subsequently transferred to sterile plastic containers for mortality observations. Each insect was treated individually with a single concentration by applying the solution between the pronotum and the abdomen using an automatic micropipette fitted with disposable tips.</w:t>
      </w:r>
      <w:r w:rsidR="005A7597">
        <w:rPr>
          <w:rFonts w:ascii="Times New Roman" w:hAnsi="Times New Roman"/>
          <w:sz w:val="24"/>
          <w:szCs w:val="24"/>
        </w:rPr>
        <w:t xml:space="preserve"> </w:t>
      </w:r>
      <w:r w:rsidRPr="00B320F0">
        <w:rPr>
          <w:rFonts w:ascii="Times New Roman" w:hAnsi="Times New Roman"/>
          <w:sz w:val="24"/>
          <w:szCs w:val="24"/>
          <w:lang w:val="en-US"/>
        </w:rPr>
        <w:t>Both experiments consisted of three replicates. The numbers of live and dead insects were recorded every 24 h.</w:t>
      </w:r>
    </w:p>
    <w:p w:rsidR="00B320F0" w:rsidRPr="00B320F0" w:rsidRDefault="00B320F0" w:rsidP="002220ED">
      <w:pPr>
        <w:spacing w:before="100" w:beforeAutospacing="1" w:after="100" w:afterAutospacing="1"/>
        <w:ind w:firstLine="0"/>
        <w:outlineLvl w:val="3"/>
        <w:rPr>
          <w:rFonts w:ascii="Times New Roman" w:hAnsi="Times New Roman"/>
          <w:b/>
          <w:bCs/>
          <w:sz w:val="24"/>
          <w:szCs w:val="24"/>
          <w:lang w:val="en-US"/>
        </w:rPr>
      </w:pPr>
      <w:r w:rsidRPr="00B320F0">
        <w:rPr>
          <w:rFonts w:ascii="Times New Roman" w:hAnsi="Times New Roman"/>
          <w:b/>
          <w:bCs/>
          <w:sz w:val="24"/>
          <w:szCs w:val="24"/>
          <w:lang w:val="en-US"/>
        </w:rPr>
        <w:t>3.1.7. Effect of white oregano essential oil on maize under laboratory conditions</w:t>
      </w:r>
    </w:p>
    <w:p w:rsidR="00B320F0" w:rsidRPr="00B320F0" w:rsidRDefault="00B320F0" w:rsidP="00BF6A3C">
      <w:pPr>
        <w:ind w:firstLine="567"/>
        <w:rPr>
          <w:rFonts w:ascii="Times New Roman" w:hAnsi="Times New Roman"/>
          <w:sz w:val="24"/>
          <w:szCs w:val="24"/>
          <w:lang w:val="en-US"/>
        </w:rPr>
      </w:pPr>
      <w:r w:rsidRPr="00B320F0">
        <w:rPr>
          <w:rFonts w:ascii="Times New Roman" w:hAnsi="Times New Roman"/>
          <w:sz w:val="24"/>
          <w:szCs w:val="24"/>
          <w:lang w:val="en-US"/>
        </w:rPr>
        <w:t>The following concentrations of aqueous white oregano EO solutions containing 0.01% Tween emulsifier were evaluated: 0.1 μl/ml, 1 μl/ml, 10 μl/ml, and 100 μl/ml. Distilled water and distilled water containing 0.01% Tween 80 served as controls.</w:t>
      </w:r>
      <w:r w:rsidR="005A7597">
        <w:rPr>
          <w:rFonts w:ascii="Times New Roman" w:hAnsi="Times New Roman"/>
          <w:sz w:val="24"/>
          <w:szCs w:val="24"/>
        </w:rPr>
        <w:t xml:space="preserve"> </w:t>
      </w:r>
      <w:r w:rsidRPr="00B320F0">
        <w:rPr>
          <w:rFonts w:ascii="Times New Roman" w:hAnsi="Times New Roman"/>
          <w:sz w:val="24"/>
          <w:szCs w:val="24"/>
          <w:lang w:val="en-US"/>
        </w:rPr>
        <w:t>For comparison, the systemic insecticide Mospilan 20 SP (Nippon Soda Co., Ltd., Tokyo, Japan), containing the active ingredient acetamiprid, was included at the recommended field rate of 10 g/da for the control of the grey maize weevil. Each treatment was tested in three replicates.</w:t>
      </w:r>
      <w:r w:rsidR="005A7597">
        <w:rPr>
          <w:rFonts w:ascii="Times New Roman" w:hAnsi="Times New Roman"/>
          <w:sz w:val="24"/>
          <w:szCs w:val="24"/>
        </w:rPr>
        <w:t xml:space="preserve"> </w:t>
      </w:r>
      <w:r w:rsidRPr="00B320F0">
        <w:rPr>
          <w:rFonts w:ascii="Times New Roman" w:hAnsi="Times New Roman"/>
          <w:sz w:val="24"/>
          <w:szCs w:val="24"/>
          <w:lang w:val="en-US"/>
        </w:rPr>
        <w:t>Maize plants at the two- to three-leaf stage (BBCH 12–13) were sprayed with 4 ml of the corresponding working solution using 12-ml plastic spray bottles (Shopiens). Plant condition was assessed daily for ten consecutive days.</w:t>
      </w:r>
    </w:p>
    <w:p w:rsidR="00B320F0" w:rsidRPr="00B320F0" w:rsidRDefault="00B320F0" w:rsidP="00BF6A3C">
      <w:pPr>
        <w:ind w:firstLine="567"/>
        <w:rPr>
          <w:rFonts w:ascii="Times New Roman" w:hAnsi="Times New Roman"/>
          <w:sz w:val="24"/>
          <w:szCs w:val="24"/>
          <w:lang w:val="en-US"/>
        </w:rPr>
      </w:pPr>
      <w:r w:rsidRPr="00B320F0">
        <w:rPr>
          <w:rFonts w:ascii="Times New Roman" w:hAnsi="Times New Roman"/>
          <w:sz w:val="24"/>
          <w:szCs w:val="24"/>
          <w:lang w:val="en-US"/>
        </w:rPr>
        <w:t xml:space="preserve">Phytotoxicity in young maize plants was evaluated according to the scale </w:t>
      </w:r>
      <w:r w:rsidR="00200F91">
        <w:rPr>
          <w:rFonts w:ascii="Times New Roman" w:hAnsi="Times New Roman"/>
          <w:sz w:val="24"/>
          <w:szCs w:val="24"/>
        </w:rPr>
        <w:t>(</w:t>
      </w:r>
      <w:r w:rsidRPr="00B320F0">
        <w:rPr>
          <w:rFonts w:ascii="Times New Roman" w:hAnsi="Times New Roman"/>
          <w:sz w:val="24"/>
          <w:szCs w:val="24"/>
          <w:lang w:val="en-US"/>
        </w:rPr>
        <w:t>Machado et al.</w:t>
      </w:r>
      <w:r w:rsidR="00200F91">
        <w:rPr>
          <w:rFonts w:ascii="Times New Roman" w:hAnsi="Times New Roman"/>
          <w:sz w:val="24"/>
          <w:szCs w:val="24"/>
        </w:rPr>
        <w:t xml:space="preserve">, </w:t>
      </w:r>
      <w:r w:rsidRPr="00B320F0">
        <w:rPr>
          <w:rFonts w:ascii="Times New Roman" w:hAnsi="Times New Roman"/>
          <w:sz w:val="24"/>
          <w:szCs w:val="24"/>
          <w:lang w:val="en-US"/>
        </w:rPr>
        <w:t>2024), as follows:</w:t>
      </w:r>
    </w:p>
    <w:p w:rsidR="00B320F0" w:rsidRPr="004E1D52" w:rsidRDefault="00B320F0" w:rsidP="004E1D52">
      <w:pPr>
        <w:numPr>
          <w:ilvl w:val="0"/>
          <w:numId w:val="22"/>
        </w:numPr>
        <w:ind w:left="0" w:firstLine="720"/>
        <w:rPr>
          <w:rFonts w:ascii="Times New Roman" w:hAnsi="Times New Roman"/>
          <w:sz w:val="24"/>
          <w:szCs w:val="24"/>
          <w:lang w:val="en-US"/>
        </w:rPr>
      </w:pPr>
      <w:r w:rsidRPr="004E1D52">
        <w:rPr>
          <w:rFonts w:ascii="Times New Roman" w:hAnsi="Times New Roman"/>
          <w:bCs/>
          <w:sz w:val="24"/>
          <w:szCs w:val="24"/>
          <w:lang w:val="en-US"/>
        </w:rPr>
        <w:t>0</w:t>
      </w:r>
      <w:r w:rsidRPr="004E1D52">
        <w:rPr>
          <w:rFonts w:ascii="Times New Roman" w:hAnsi="Times New Roman"/>
          <w:sz w:val="24"/>
          <w:szCs w:val="24"/>
          <w:lang w:val="en-US"/>
        </w:rPr>
        <w:t xml:space="preserve"> – no injury;</w:t>
      </w:r>
    </w:p>
    <w:p w:rsidR="00B320F0" w:rsidRPr="004E1D52" w:rsidRDefault="00B320F0" w:rsidP="004E1D52">
      <w:pPr>
        <w:numPr>
          <w:ilvl w:val="0"/>
          <w:numId w:val="22"/>
        </w:numPr>
        <w:ind w:left="0" w:firstLine="720"/>
        <w:rPr>
          <w:rFonts w:ascii="Times New Roman" w:hAnsi="Times New Roman"/>
          <w:sz w:val="24"/>
          <w:szCs w:val="24"/>
          <w:lang w:val="en-US"/>
        </w:rPr>
      </w:pPr>
      <w:r w:rsidRPr="004E1D52">
        <w:rPr>
          <w:rFonts w:ascii="Times New Roman" w:hAnsi="Times New Roman"/>
          <w:bCs/>
          <w:sz w:val="24"/>
          <w:szCs w:val="24"/>
          <w:lang w:val="en-US"/>
        </w:rPr>
        <w:t>1</w:t>
      </w:r>
      <w:r w:rsidRPr="004E1D52">
        <w:rPr>
          <w:rFonts w:ascii="Times New Roman" w:hAnsi="Times New Roman"/>
          <w:sz w:val="24"/>
          <w:szCs w:val="24"/>
          <w:lang w:val="en-US"/>
        </w:rPr>
        <w:t xml:space="preserve"> – slight symptoms;</w:t>
      </w:r>
    </w:p>
    <w:p w:rsidR="00B320F0" w:rsidRPr="004E1D52" w:rsidRDefault="00B320F0" w:rsidP="004E1D52">
      <w:pPr>
        <w:numPr>
          <w:ilvl w:val="0"/>
          <w:numId w:val="22"/>
        </w:numPr>
        <w:ind w:left="0" w:firstLine="720"/>
        <w:rPr>
          <w:rFonts w:ascii="Times New Roman" w:hAnsi="Times New Roman"/>
          <w:sz w:val="24"/>
          <w:szCs w:val="24"/>
          <w:lang w:val="en-US"/>
        </w:rPr>
      </w:pPr>
      <w:r w:rsidRPr="004E1D52">
        <w:rPr>
          <w:rFonts w:ascii="Times New Roman" w:hAnsi="Times New Roman"/>
          <w:bCs/>
          <w:sz w:val="24"/>
          <w:szCs w:val="24"/>
          <w:lang w:val="en-US"/>
        </w:rPr>
        <w:t>2</w:t>
      </w:r>
      <w:r w:rsidRPr="004E1D52">
        <w:rPr>
          <w:rFonts w:ascii="Times New Roman" w:hAnsi="Times New Roman"/>
          <w:sz w:val="24"/>
          <w:szCs w:val="24"/>
          <w:lang w:val="en-US"/>
        </w:rPr>
        <w:t xml:space="preserve"> – moderate symptoms;</w:t>
      </w:r>
    </w:p>
    <w:p w:rsidR="00B320F0" w:rsidRPr="004E1D52" w:rsidRDefault="00B320F0" w:rsidP="004E1D52">
      <w:pPr>
        <w:numPr>
          <w:ilvl w:val="0"/>
          <w:numId w:val="22"/>
        </w:numPr>
        <w:ind w:left="0" w:firstLine="720"/>
        <w:rPr>
          <w:rFonts w:ascii="Times New Roman" w:hAnsi="Times New Roman"/>
          <w:sz w:val="24"/>
          <w:szCs w:val="24"/>
          <w:lang w:val="en-US"/>
        </w:rPr>
      </w:pPr>
      <w:r w:rsidRPr="004E1D52">
        <w:rPr>
          <w:rFonts w:ascii="Times New Roman" w:hAnsi="Times New Roman"/>
          <w:bCs/>
          <w:sz w:val="24"/>
          <w:szCs w:val="24"/>
          <w:lang w:val="en-US"/>
        </w:rPr>
        <w:t>3</w:t>
      </w:r>
      <w:r w:rsidRPr="004E1D52">
        <w:rPr>
          <w:rFonts w:ascii="Times New Roman" w:hAnsi="Times New Roman"/>
          <w:sz w:val="24"/>
          <w:szCs w:val="24"/>
          <w:lang w:val="en-US"/>
        </w:rPr>
        <w:t xml:space="preserve"> – severe symptoms;</w:t>
      </w:r>
    </w:p>
    <w:p w:rsidR="00B320F0" w:rsidRPr="004E1D52" w:rsidRDefault="00B320F0" w:rsidP="004E1D52">
      <w:pPr>
        <w:numPr>
          <w:ilvl w:val="0"/>
          <w:numId w:val="22"/>
        </w:numPr>
        <w:ind w:left="0" w:firstLine="720"/>
        <w:rPr>
          <w:rFonts w:ascii="Times New Roman" w:hAnsi="Times New Roman"/>
          <w:sz w:val="24"/>
          <w:szCs w:val="24"/>
          <w:lang w:val="en-US"/>
        </w:rPr>
      </w:pPr>
      <w:r w:rsidRPr="004E1D52">
        <w:rPr>
          <w:rFonts w:ascii="Times New Roman" w:hAnsi="Times New Roman"/>
          <w:bCs/>
          <w:sz w:val="24"/>
          <w:szCs w:val="24"/>
          <w:lang w:val="en-US"/>
        </w:rPr>
        <w:t>4</w:t>
      </w:r>
      <w:r w:rsidRPr="004E1D52">
        <w:rPr>
          <w:rFonts w:ascii="Times New Roman" w:hAnsi="Times New Roman"/>
          <w:sz w:val="24"/>
          <w:szCs w:val="24"/>
          <w:lang w:val="en-US"/>
        </w:rPr>
        <w:t xml:space="preserve"> – very severe symptoms.</w:t>
      </w:r>
    </w:p>
    <w:p w:rsidR="00B320F0" w:rsidRPr="00B320F0" w:rsidRDefault="00B320F0" w:rsidP="00BF6A3C">
      <w:pPr>
        <w:pStyle w:val="4"/>
        <w:ind w:firstLine="0"/>
        <w:rPr>
          <w:rFonts w:ascii="Times New Roman" w:hAnsi="Times New Roman"/>
          <w:b/>
          <w:i w:val="0"/>
          <w:color w:val="auto"/>
        </w:rPr>
      </w:pPr>
      <w:r w:rsidRPr="00B320F0">
        <w:rPr>
          <w:rFonts w:ascii="Times New Roman" w:hAnsi="Times New Roman"/>
          <w:b/>
          <w:i w:val="0"/>
          <w:color w:val="auto"/>
        </w:rPr>
        <w:lastRenderedPageBreak/>
        <w:t>3.1.8. Effect of white oregano essential oil on maize under field conditions</w:t>
      </w:r>
    </w:p>
    <w:p w:rsidR="00B320F0" w:rsidRDefault="00B320F0" w:rsidP="00BF6A3C">
      <w:pPr>
        <w:pStyle w:val="ad"/>
        <w:spacing w:line="360" w:lineRule="auto"/>
        <w:ind w:firstLine="567"/>
        <w:jc w:val="both"/>
      </w:pPr>
      <w:r>
        <w:t>Maize plants were treated with white oregano essential oil (EO) at concentrations of 0.1 μl/ml, 1 μl/ml, 10 μl/ml, and 100 μl/ml, as well as with Mospilan 20 SP at the recommended rate of 10 g/da. Distilled water and distilled water containing 0.01% Tween emulsifier served as the control treatments.</w:t>
      </w:r>
      <w:r w:rsidR="005A7597">
        <w:t xml:space="preserve"> </w:t>
      </w:r>
      <w:r>
        <w:t>The field experiment was established as a randomized complete block design with three replicates. Plant observations were carried out daily for 10 consecutive days. Fresh plant biomass (stems and leaves) was measured two weeks after the completion of the observation period.</w:t>
      </w:r>
    </w:p>
    <w:p w:rsidR="00B320F0" w:rsidRPr="00B320F0" w:rsidRDefault="00B320F0" w:rsidP="00BF6A3C">
      <w:pPr>
        <w:pStyle w:val="4"/>
        <w:ind w:firstLine="0"/>
        <w:rPr>
          <w:rFonts w:ascii="Times New Roman" w:hAnsi="Times New Roman"/>
          <w:b/>
          <w:i w:val="0"/>
          <w:color w:val="auto"/>
        </w:rPr>
      </w:pPr>
      <w:r w:rsidRPr="00B320F0">
        <w:rPr>
          <w:rFonts w:ascii="Times New Roman" w:hAnsi="Times New Roman"/>
          <w:b/>
          <w:i w:val="0"/>
          <w:color w:val="auto"/>
        </w:rPr>
        <w:t>3.1.9. Effect of entomopathogenic nematode products under field conditions</w:t>
      </w:r>
    </w:p>
    <w:p w:rsidR="00B320F0" w:rsidRDefault="00B320F0" w:rsidP="00C2059B">
      <w:pPr>
        <w:pStyle w:val="ad"/>
        <w:spacing w:before="0" w:beforeAutospacing="0" w:after="0" w:afterAutospacing="0" w:line="360" w:lineRule="auto"/>
        <w:ind w:firstLine="567"/>
        <w:jc w:val="both"/>
      </w:pPr>
      <w:r>
        <w:t>The following commercial products were evaluated:</w:t>
      </w:r>
    </w:p>
    <w:p w:rsidR="00B320F0" w:rsidRDefault="00B320F0" w:rsidP="00C2059B">
      <w:pPr>
        <w:pStyle w:val="ad"/>
        <w:numPr>
          <w:ilvl w:val="0"/>
          <w:numId w:val="23"/>
        </w:numPr>
        <w:spacing w:before="0" w:beforeAutospacing="0" w:after="0" w:afterAutospacing="0" w:line="360" w:lineRule="auto"/>
        <w:ind w:firstLine="567"/>
        <w:jc w:val="both"/>
      </w:pPr>
      <w:r>
        <w:rPr>
          <w:rStyle w:val="af3"/>
        </w:rPr>
        <w:t>Nemastar®</w:t>
      </w:r>
      <w:r>
        <w:t xml:space="preserve"> (powder formulation containing 5 million </w:t>
      </w:r>
      <w:r>
        <w:rPr>
          <w:rStyle w:val="ac"/>
        </w:rPr>
        <w:t>Steinernema carpocapsae</w:t>
      </w:r>
      <w:r>
        <w:t>);</w:t>
      </w:r>
    </w:p>
    <w:p w:rsidR="00B320F0" w:rsidRDefault="00B320F0" w:rsidP="00C2059B">
      <w:pPr>
        <w:pStyle w:val="ad"/>
        <w:numPr>
          <w:ilvl w:val="0"/>
          <w:numId w:val="23"/>
        </w:numPr>
        <w:spacing w:before="0" w:beforeAutospacing="0" w:after="0" w:afterAutospacing="0" w:line="360" w:lineRule="auto"/>
        <w:ind w:firstLine="567"/>
        <w:jc w:val="both"/>
      </w:pPr>
      <w:r>
        <w:rPr>
          <w:rStyle w:val="af3"/>
        </w:rPr>
        <w:t>Nematop® Käfer-Stopp Trap</w:t>
      </w:r>
      <w:r>
        <w:t xml:space="preserve"> (a wooden trap with grooves on the upper surface filled with a gel containing 2.5 million </w:t>
      </w:r>
      <w:r>
        <w:rPr>
          <w:rStyle w:val="ac"/>
        </w:rPr>
        <w:t>S. carpocapsae</w:t>
      </w:r>
      <w:r>
        <w:t xml:space="preserve"> infective juveniles).</w:t>
      </w:r>
    </w:p>
    <w:p w:rsidR="00B320F0" w:rsidRDefault="00B320F0" w:rsidP="00C2059B">
      <w:pPr>
        <w:pStyle w:val="ad"/>
        <w:spacing w:before="0" w:beforeAutospacing="0" w:after="0" w:afterAutospacing="0" w:line="360" w:lineRule="auto"/>
        <w:ind w:firstLine="567"/>
        <w:jc w:val="both"/>
      </w:pPr>
      <w:r>
        <w:t>The powdered formulation Nemastar® was evaluated under field conditions in maize fields established with two different seed treatment practices: chemical seed treatment (Gaucho® 600 FS) and biological seed treatment (Naturalis combined with microbial fertilizers).</w:t>
      </w:r>
      <w:r w:rsidR="005A7597">
        <w:t xml:space="preserve"> </w:t>
      </w:r>
      <w:r>
        <w:t>Field experiments (open maize plots of 25 m²) and semi-field experiments (wooden cages covered with insect-proof mesh; 0.5 m³; four maize plants per cage) were conducted under both seed treatment regimes. Two Nemastar® treatments, each with two replicates, and one untreated control receiving tap water only were included. The distance between plots within a block was 15–20 m, while cages were spaced 10–15 m apart.</w:t>
      </w:r>
      <w:r w:rsidR="005A7597">
        <w:t xml:space="preserve"> </w:t>
      </w:r>
      <w:r>
        <w:t>During the first Nemastar® application (28 April 2022), no additional weevils were released into the open plots, whereas 15 adult weevils were introduced into each cage. During the second application (19 May 2022), 70 weevils were released into each open plot and 30 adults into each cage. Prior to the second treatment, 20 L of water was applied to each open plot and 1.5 L to each cage in order to increase soil moisture and facilitate the movement of the entomopathogenic nematodes through the soil.</w:t>
      </w:r>
      <w:r w:rsidR="005A7597">
        <w:t xml:space="preserve"> </w:t>
      </w:r>
      <w:r>
        <w:t>Two Nematop® Käfer-Stopp traps were placed on the soil surface in the field with biologically treated seed</w:t>
      </w:r>
      <w:r w:rsidR="004E1D52">
        <w:rPr>
          <w:lang w:val="en-US"/>
        </w:rPr>
        <w:t>s</w:t>
      </w:r>
      <w:r>
        <w:t>, whereas one trap was installed in the field established with Gaucho® 600 FS-treated seed</w:t>
      </w:r>
      <w:r w:rsidR="004E1D52">
        <w:rPr>
          <w:lang w:val="en-US"/>
        </w:rPr>
        <w:t>s</w:t>
      </w:r>
      <w:r>
        <w:t xml:space="preserve"> on 28 April 2022. Following installation, the traps were irrigated daily for three consecutive days to </w:t>
      </w:r>
      <w:r>
        <w:lastRenderedPageBreak/>
        <w:t>maintain adequate moisture for nematode activity.</w:t>
      </w:r>
      <w:r w:rsidR="005A7597">
        <w:t xml:space="preserve"> </w:t>
      </w:r>
      <w:r>
        <w:t>Dead insects collected from all experiments were stored under refrigeration for 1–5 days prior to dissection. Temporary microscope slides were prepared and examined under light microscopes to determine the presence of entomopathogenic nematodes.</w:t>
      </w:r>
    </w:p>
    <w:p w:rsidR="00B320F0" w:rsidRPr="00B320F0" w:rsidRDefault="00B320F0" w:rsidP="00B320F0">
      <w:pPr>
        <w:spacing w:before="100" w:beforeAutospacing="1" w:after="100" w:afterAutospacing="1" w:line="240" w:lineRule="auto"/>
        <w:ind w:firstLine="0"/>
        <w:jc w:val="left"/>
        <w:outlineLvl w:val="2"/>
        <w:rPr>
          <w:rFonts w:ascii="Times New Roman" w:hAnsi="Times New Roman"/>
          <w:b/>
          <w:bCs/>
          <w:sz w:val="27"/>
          <w:szCs w:val="27"/>
          <w:lang w:val="en-US"/>
        </w:rPr>
      </w:pPr>
      <w:r w:rsidRPr="00B320F0">
        <w:rPr>
          <w:rFonts w:ascii="Times New Roman" w:hAnsi="Times New Roman"/>
          <w:b/>
          <w:bCs/>
          <w:sz w:val="27"/>
          <w:szCs w:val="27"/>
          <w:lang w:val="en-US"/>
        </w:rPr>
        <w:t xml:space="preserve">3.2. </w:t>
      </w:r>
      <w:r w:rsidRPr="00B320F0">
        <w:rPr>
          <w:rFonts w:ascii="Times New Roman" w:hAnsi="Times New Roman"/>
          <w:b/>
          <w:bCs/>
          <w:i/>
          <w:iCs/>
          <w:sz w:val="27"/>
          <w:szCs w:val="27"/>
          <w:lang w:val="en-US"/>
        </w:rPr>
        <w:t>Diabrotica virgifera virgifera</w:t>
      </w:r>
    </w:p>
    <w:p w:rsidR="00B320F0" w:rsidRPr="00B320F0" w:rsidRDefault="00B320F0" w:rsidP="00B320F0">
      <w:pPr>
        <w:spacing w:before="100" w:beforeAutospacing="1" w:after="100" w:afterAutospacing="1" w:line="240" w:lineRule="auto"/>
        <w:ind w:firstLine="0"/>
        <w:jc w:val="left"/>
        <w:outlineLvl w:val="3"/>
        <w:rPr>
          <w:rFonts w:ascii="Times New Roman" w:hAnsi="Times New Roman"/>
          <w:b/>
          <w:bCs/>
          <w:sz w:val="24"/>
          <w:szCs w:val="24"/>
          <w:lang w:val="en-US"/>
        </w:rPr>
      </w:pPr>
      <w:r w:rsidRPr="00B320F0">
        <w:rPr>
          <w:rFonts w:ascii="Times New Roman" w:hAnsi="Times New Roman"/>
          <w:b/>
          <w:bCs/>
          <w:sz w:val="24"/>
          <w:szCs w:val="24"/>
          <w:lang w:val="en-US"/>
        </w:rPr>
        <w:t xml:space="preserve">3.2.1. Monitoring the seasonal activity of adult </w:t>
      </w:r>
      <w:r w:rsidRPr="00B320F0">
        <w:rPr>
          <w:rFonts w:ascii="Times New Roman" w:hAnsi="Times New Roman"/>
          <w:b/>
          <w:bCs/>
          <w:i/>
          <w:iCs/>
          <w:sz w:val="24"/>
          <w:szCs w:val="24"/>
          <w:lang w:val="en-US"/>
        </w:rPr>
        <w:t>Diabrotica virgifera virgifera</w:t>
      </w:r>
      <w:r w:rsidRPr="00B320F0">
        <w:rPr>
          <w:rFonts w:ascii="Times New Roman" w:hAnsi="Times New Roman"/>
          <w:b/>
          <w:bCs/>
          <w:sz w:val="24"/>
          <w:szCs w:val="24"/>
          <w:lang w:val="en-US"/>
        </w:rPr>
        <w:t xml:space="preserve"> using unbaited coloured sticky traps</w:t>
      </w:r>
    </w:p>
    <w:p w:rsidR="00B320F0" w:rsidRPr="00B320F0" w:rsidRDefault="00B320F0" w:rsidP="00B320F0">
      <w:pPr>
        <w:spacing w:before="100" w:beforeAutospacing="1" w:after="100" w:afterAutospacing="1"/>
        <w:rPr>
          <w:rFonts w:ascii="Times New Roman" w:hAnsi="Times New Roman"/>
          <w:sz w:val="24"/>
          <w:szCs w:val="24"/>
          <w:lang w:val="en-US"/>
        </w:rPr>
      </w:pPr>
      <w:r w:rsidRPr="00B320F0">
        <w:rPr>
          <w:rFonts w:ascii="Times New Roman" w:hAnsi="Times New Roman"/>
          <w:sz w:val="24"/>
          <w:szCs w:val="24"/>
          <w:lang w:val="en-US"/>
        </w:rPr>
        <w:t>Between 5 June and 23 September 2014, sticky PVC traps (10 × 16 cm; CSALOMON®, Hungary) of the following colours were evaluated in six replicates: white, blue, red, orange, yellow, and fluorescent yellow. Transparent (colourless) traps were used as controls. Trap catches were recorded once or twice weekly, after which the used sticky traps were collected and replaced with new ones.</w:t>
      </w:r>
    </w:p>
    <w:p w:rsidR="00B320F0" w:rsidRPr="00B320F0" w:rsidRDefault="00B320F0" w:rsidP="00B320F0">
      <w:pPr>
        <w:spacing w:before="100" w:beforeAutospacing="1" w:after="100" w:afterAutospacing="1" w:line="240" w:lineRule="auto"/>
        <w:ind w:firstLine="0"/>
        <w:jc w:val="left"/>
        <w:outlineLvl w:val="3"/>
        <w:rPr>
          <w:rFonts w:ascii="Times New Roman" w:hAnsi="Times New Roman"/>
          <w:b/>
          <w:bCs/>
          <w:sz w:val="24"/>
          <w:szCs w:val="24"/>
          <w:lang w:val="en-US"/>
        </w:rPr>
      </w:pPr>
      <w:r w:rsidRPr="00B320F0">
        <w:rPr>
          <w:rFonts w:ascii="Times New Roman" w:hAnsi="Times New Roman"/>
          <w:b/>
          <w:bCs/>
          <w:sz w:val="24"/>
          <w:szCs w:val="24"/>
          <w:lang w:val="en-US"/>
        </w:rPr>
        <w:t xml:space="preserve">3.2.2. Monitoring the seasonal activity of adult </w:t>
      </w:r>
      <w:r w:rsidRPr="00B320F0">
        <w:rPr>
          <w:rFonts w:ascii="Times New Roman" w:hAnsi="Times New Roman"/>
          <w:b/>
          <w:bCs/>
          <w:i/>
          <w:iCs/>
          <w:sz w:val="24"/>
          <w:szCs w:val="24"/>
          <w:lang w:val="en-US"/>
        </w:rPr>
        <w:t>Diabrotica virgifera virgifera</w:t>
      </w:r>
      <w:r w:rsidRPr="00B320F0">
        <w:rPr>
          <w:rFonts w:ascii="Times New Roman" w:hAnsi="Times New Roman"/>
          <w:b/>
          <w:bCs/>
          <w:sz w:val="24"/>
          <w:szCs w:val="24"/>
          <w:lang w:val="en-US"/>
        </w:rPr>
        <w:t xml:space="preserve"> using KLP+ traps baited with pheromone and floral lures</w:t>
      </w:r>
    </w:p>
    <w:p w:rsidR="00B320F0" w:rsidRPr="00B320F0" w:rsidRDefault="00B320F0" w:rsidP="005A7597">
      <w:pPr>
        <w:spacing w:before="100" w:beforeAutospacing="1" w:after="100" w:afterAutospacing="1"/>
        <w:rPr>
          <w:rFonts w:ascii="Times New Roman" w:hAnsi="Times New Roman"/>
          <w:sz w:val="24"/>
          <w:szCs w:val="24"/>
          <w:lang w:val="en-US"/>
        </w:rPr>
      </w:pPr>
      <w:r w:rsidRPr="00B320F0">
        <w:rPr>
          <w:rFonts w:ascii="Times New Roman" w:hAnsi="Times New Roman"/>
          <w:sz w:val="24"/>
          <w:szCs w:val="24"/>
          <w:lang w:val="en-US"/>
        </w:rPr>
        <w:t>Field studies were conducted during 2015 (17 June–30 September) and 2016 (12 July–28 September) using KLP+ traps equipped with two semiochemical lures (a pheromone lure and a floral lure) manufactured by CSALOMON®. Each trap contained a Vaportape® insecticide strip (Hercon Environmental Inc., Emigsville, PA, USA) serving as the killing agent for captured beetles.</w:t>
      </w:r>
      <w:r w:rsidR="005A7597">
        <w:rPr>
          <w:rFonts w:ascii="Times New Roman" w:hAnsi="Times New Roman"/>
          <w:sz w:val="24"/>
          <w:szCs w:val="24"/>
        </w:rPr>
        <w:t xml:space="preserve"> </w:t>
      </w:r>
      <w:r w:rsidRPr="00B320F0">
        <w:rPr>
          <w:rFonts w:ascii="Times New Roman" w:hAnsi="Times New Roman"/>
          <w:sz w:val="24"/>
          <w:szCs w:val="24"/>
          <w:lang w:val="en-US"/>
        </w:rPr>
        <w:t>Baited traps were deployed in four replicates, while unbaited control traps were placed within the second and fourth replicate blocks. Lures were replaced with fresh ones at four-week intervals.</w:t>
      </w:r>
    </w:p>
    <w:p w:rsidR="00B320F0" w:rsidRPr="00B320F0" w:rsidRDefault="00B320F0" w:rsidP="00E8207F">
      <w:pPr>
        <w:spacing w:before="100" w:beforeAutospacing="1" w:after="100" w:afterAutospacing="1" w:line="240" w:lineRule="auto"/>
        <w:ind w:firstLine="0"/>
        <w:outlineLvl w:val="3"/>
        <w:rPr>
          <w:rFonts w:ascii="Times New Roman" w:hAnsi="Times New Roman"/>
          <w:b/>
          <w:bCs/>
          <w:sz w:val="24"/>
          <w:szCs w:val="24"/>
          <w:lang w:val="en-US"/>
        </w:rPr>
      </w:pPr>
      <w:r w:rsidRPr="00B320F0">
        <w:rPr>
          <w:rFonts w:ascii="Times New Roman" w:hAnsi="Times New Roman"/>
          <w:b/>
          <w:bCs/>
          <w:sz w:val="24"/>
          <w:szCs w:val="24"/>
          <w:lang w:val="en-US"/>
        </w:rPr>
        <w:t xml:space="preserve">3.2.3. </w:t>
      </w:r>
      <w:r w:rsidR="00E8207F" w:rsidRPr="00E8207F">
        <w:rPr>
          <w:rFonts w:ascii="Times New Roman" w:hAnsi="Times New Roman"/>
          <w:b/>
          <w:bCs/>
          <w:sz w:val="24"/>
          <w:szCs w:val="24"/>
          <w:lang w:val="en-US"/>
        </w:rPr>
        <w:t>Effect of yellow colour hue of the trap in combination with pheromone and plant lures</w:t>
      </w:r>
    </w:p>
    <w:p w:rsidR="00B320F0" w:rsidRPr="00B320F0" w:rsidRDefault="00B320F0" w:rsidP="000755AF">
      <w:pPr>
        <w:spacing w:before="100" w:beforeAutospacing="1" w:after="100" w:afterAutospacing="1"/>
        <w:rPr>
          <w:rFonts w:ascii="Times New Roman" w:hAnsi="Times New Roman"/>
          <w:sz w:val="24"/>
          <w:szCs w:val="24"/>
          <w:lang w:val="en-US"/>
        </w:rPr>
      </w:pPr>
      <w:r w:rsidRPr="00B320F0">
        <w:rPr>
          <w:rFonts w:ascii="Times New Roman" w:hAnsi="Times New Roman"/>
          <w:sz w:val="24"/>
          <w:szCs w:val="24"/>
          <w:lang w:val="en-US"/>
        </w:rPr>
        <w:t>During 2017 (21 July–2 October; lure replacement on 18 August) and 2018 (15 July–30 September; lure replacement on 15 August), the attractiveness of standard yellow and fluorescent yellow KLP+ dry insecticide traps was compared. Both trap types were baited with a pheromone lure and a floral lure supplied by CSALOMON®. Each treatment was evaluated in two replicates during both study periods.</w:t>
      </w:r>
    </w:p>
    <w:p w:rsidR="00B320F0" w:rsidRPr="00B320F0" w:rsidRDefault="00B320F0" w:rsidP="00B320F0">
      <w:pPr>
        <w:spacing w:before="100" w:beforeAutospacing="1" w:after="100" w:afterAutospacing="1" w:line="240" w:lineRule="auto"/>
        <w:ind w:firstLine="0"/>
        <w:jc w:val="left"/>
        <w:outlineLvl w:val="3"/>
        <w:rPr>
          <w:rFonts w:ascii="Times New Roman" w:hAnsi="Times New Roman"/>
          <w:b/>
          <w:bCs/>
          <w:sz w:val="24"/>
          <w:szCs w:val="24"/>
          <w:lang w:val="en-US"/>
        </w:rPr>
      </w:pPr>
      <w:r w:rsidRPr="00B320F0">
        <w:rPr>
          <w:rFonts w:ascii="Times New Roman" w:hAnsi="Times New Roman"/>
          <w:b/>
          <w:bCs/>
          <w:sz w:val="24"/>
          <w:szCs w:val="24"/>
          <w:lang w:val="en-US"/>
        </w:rPr>
        <w:lastRenderedPageBreak/>
        <w:t xml:space="preserve">3.2.4. Monitoring the seasonal activity of adult </w:t>
      </w:r>
      <w:r w:rsidRPr="00B320F0">
        <w:rPr>
          <w:rFonts w:ascii="Times New Roman" w:hAnsi="Times New Roman"/>
          <w:b/>
          <w:bCs/>
          <w:i/>
          <w:iCs/>
          <w:sz w:val="24"/>
          <w:szCs w:val="24"/>
          <w:lang w:val="en-US"/>
        </w:rPr>
        <w:t>Diabrotica virgifera virgifera</w:t>
      </w:r>
      <w:r w:rsidRPr="00B320F0">
        <w:rPr>
          <w:rFonts w:ascii="Times New Roman" w:hAnsi="Times New Roman"/>
          <w:b/>
          <w:bCs/>
          <w:sz w:val="24"/>
          <w:szCs w:val="24"/>
          <w:lang w:val="en-US"/>
        </w:rPr>
        <w:t xml:space="preserve"> in maize fields established with different seed treatment (biological and chemical)</w:t>
      </w:r>
    </w:p>
    <w:p w:rsidR="00B320F0" w:rsidRPr="00B320F0" w:rsidRDefault="00B320F0" w:rsidP="000755AF">
      <w:pPr>
        <w:spacing w:before="100" w:beforeAutospacing="1" w:after="100" w:afterAutospacing="1"/>
        <w:rPr>
          <w:rFonts w:ascii="Times New Roman" w:hAnsi="Times New Roman"/>
          <w:sz w:val="24"/>
          <w:szCs w:val="24"/>
          <w:lang w:val="en-US"/>
        </w:rPr>
      </w:pPr>
      <w:r w:rsidRPr="00B320F0">
        <w:rPr>
          <w:rFonts w:ascii="Times New Roman" w:hAnsi="Times New Roman"/>
          <w:sz w:val="24"/>
          <w:szCs w:val="24"/>
          <w:lang w:val="en-US"/>
        </w:rPr>
        <w:t>Between 29 June and 12 September 2022, the seasonal activity of adult western corn rootworms was monitored using KLP traps baited with both pheromone and floral lures in maize fields established with different seed treatment regimes: biological seed treatment (two replicates) and chemical seed treatment (one replicate).</w:t>
      </w:r>
    </w:p>
    <w:p w:rsidR="00B320F0" w:rsidRPr="00B320F0" w:rsidRDefault="00B320F0" w:rsidP="00B320F0">
      <w:pPr>
        <w:spacing w:before="100" w:beforeAutospacing="1" w:after="100" w:afterAutospacing="1" w:line="240" w:lineRule="auto"/>
        <w:ind w:firstLine="0"/>
        <w:jc w:val="left"/>
        <w:outlineLvl w:val="3"/>
        <w:rPr>
          <w:rFonts w:ascii="Times New Roman" w:hAnsi="Times New Roman"/>
          <w:b/>
          <w:bCs/>
          <w:sz w:val="24"/>
          <w:szCs w:val="24"/>
          <w:lang w:val="en-US"/>
        </w:rPr>
      </w:pPr>
      <w:r w:rsidRPr="00B320F0">
        <w:rPr>
          <w:rFonts w:ascii="Times New Roman" w:hAnsi="Times New Roman"/>
          <w:b/>
          <w:bCs/>
          <w:sz w:val="24"/>
          <w:szCs w:val="24"/>
          <w:lang w:val="en-US"/>
        </w:rPr>
        <w:t>3.2.5. Experimental insects for laboratory studies</w:t>
      </w:r>
    </w:p>
    <w:p w:rsidR="00B320F0" w:rsidRPr="00B320F0" w:rsidRDefault="00CE1526" w:rsidP="000755AF">
      <w:pPr>
        <w:spacing w:before="100" w:beforeAutospacing="1" w:after="100" w:afterAutospacing="1"/>
        <w:rPr>
          <w:rFonts w:ascii="Times New Roman" w:hAnsi="Times New Roman"/>
          <w:sz w:val="24"/>
          <w:szCs w:val="24"/>
          <w:lang w:val="en-US"/>
        </w:rPr>
      </w:pPr>
      <w:r>
        <w:rPr>
          <w:rFonts w:ascii="Times New Roman" w:hAnsi="Times New Roman"/>
          <w:sz w:val="24"/>
          <w:szCs w:val="24"/>
          <w:lang w:val="en-US"/>
        </w:rPr>
        <w:t>The a</w:t>
      </w:r>
      <w:r w:rsidR="00B320F0" w:rsidRPr="00B320F0">
        <w:rPr>
          <w:rFonts w:ascii="Times New Roman" w:hAnsi="Times New Roman"/>
          <w:sz w:val="24"/>
          <w:szCs w:val="24"/>
          <w:lang w:val="en-US"/>
        </w:rPr>
        <w:t>dult</w:t>
      </w:r>
      <w:r>
        <w:rPr>
          <w:rFonts w:ascii="Times New Roman" w:hAnsi="Times New Roman"/>
          <w:sz w:val="24"/>
          <w:szCs w:val="24"/>
          <w:lang w:val="en-US"/>
        </w:rPr>
        <w:t xml:space="preserve"> individuals of the</w:t>
      </w:r>
      <w:r w:rsidR="00B320F0" w:rsidRPr="00B320F0">
        <w:rPr>
          <w:rFonts w:ascii="Times New Roman" w:hAnsi="Times New Roman"/>
          <w:sz w:val="24"/>
          <w:szCs w:val="24"/>
          <w:lang w:val="en-US"/>
        </w:rPr>
        <w:t xml:space="preserve"> western corn rootworm were collected using pheromone and floral lures supplied by CSALOMON® in order to capture both male and female beetles. Collections were carried out between 09:00 and 12:00 h, corresponding to the period of highest flight activity of adults towards both lure types.</w:t>
      </w:r>
    </w:p>
    <w:p w:rsidR="00B320F0" w:rsidRPr="00B320F0" w:rsidRDefault="00B320F0" w:rsidP="008259B2">
      <w:pPr>
        <w:spacing w:before="100" w:beforeAutospacing="1" w:after="100" w:afterAutospacing="1" w:line="240" w:lineRule="auto"/>
        <w:ind w:firstLine="0"/>
        <w:outlineLvl w:val="3"/>
        <w:rPr>
          <w:rFonts w:ascii="Times New Roman" w:hAnsi="Times New Roman"/>
          <w:b/>
          <w:bCs/>
          <w:sz w:val="24"/>
          <w:szCs w:val="24"/>
          <w:lang w:val="en-US"/>
        </w:rPr>
      </w:pPr>
      <w:r w:rsidRPr="00B320F0">
        <w:rPr>
          <w:rFonts w:ascii="Times New Roman" w:hAnsi="Times New Roman"/>
          <w:b/>
          <w:bCs/>
          <w:sz w:val="24"/>
          <w:szCs w:val="24"/>
          <w:lang w:val="en-US"/>
        </w:rPr>
        <w:t xml:space="preserve">3.2.6. Effect of white oregano essential oil on adult </w:t>
      </w:r>
      <w:r w:rsidRPr="00B320F0">
        <w:rPr>
          <w:rFonts w:ascii="Times New Roman" w:hAnsi="Times New Roman"/>
          <w:b/>
          <w:bCs/>
          <w:i/>
          <w:iCs/>
          <w:sz w:val="24"/>
          <w:szCs w:val="24"/>
          <w:lang w:val="en-US"/>
        </w:rPr>
        <w:t>Diabrotica virgifera virgifera</w:t>
      </w:r>
      <w:r w:rsidRPr="00B320F0">
        <w:rPr>
          <w:rFonts w:ascii="Times New Roman" w:hAnsi="Times New Roman"/>
          <w:b/>
          <w:bCs/>
          <w:sz w:val="24"/>
          <w:szCs w:val="24"/>
          <w:lang w:val="en-US"/>
        </w:rPr>
        <w:t xml:space="preserve"> under laboratory conditions</w:t>
      </w:r>
    </w:p>
    <w:p w:rsidR="00B320F0" w:rsidRDefault="00B320F0" w:rsidP="005A7597">
      <w:pPr>
        <w:spacing w:before="100" w:beforeAutospacing="1" w:after="100" w:afterAutospacing="1"/>
        <w:rPr>
          <w:rFonts w:ascii="Times New Roman" w:hAnsi="Times New Roman"/>
          <w:sz w:val="24"/>
          <w:szCs w:val="24"/>
          <w:lang w:val="en-US"/>
        </w:rPr>
      </w:pPr>
      <w:r w:rsidRPr="00B320F0">
        <w:rPr>
          <w:rFonts w:ascii="Times New Roman" w:hAnsi="Times New Roman"/>
          <w:sz w:val="24"/>
          <w:szCs w:val="24"/>
          <w:lang w:val="en-US"/>
        </w:rPr>
        <w:t xml:space="preserve">Randomly selected adult </w:t>
      </w:r>
      <w:r w:rsidRPr="00B320F0">
        <w:rPr>
          <w:rFonts w:ascii="Times New Roman" w:hAnsi="Times New Roman"/>
          <w:i/>
          <w:iCs/>
          <w:sz w:val="24"/>
          <w:szCs w:val="24"/>
          <w:lang w:val="en-US"/>
        </w:rPr>
        <w:t xml:space="preserve">D. </w:t>
      </w:r>
      <w:r w:rsidR="00206A5A" w:rsidRPr="00B320F0">
        <w:rPr>
          <w:rFonts w:ascii="Times New Roman" w:hAnsi="Times New Roman"/>
          <w:i/>
          <w:iCs/>
          <w:sz w:val="24"/>
          <w:szCs w:val="24"/>
          <w:lang w:val="en-US"/>
        </w:rPr>
        <w:t>v</w:t>
      </w:r>
      <w:r w:rsidR="00206A5A">
        <w:rPr>
          <w:rFonts w:ascii="Times New Roman" w:hAnsi="Times New Roman"/>
          <w:i/>
          <w:iCs/>
          <w:sz w:val="24"/>
          <w:szCs w:val="24"/>
          <w:lang w:val="en-US"/>
        </w:rPr>
        <w:t>.</w:t>
      </w:r>
      <w:r w:rsidR="00206A5A" w:rsidRPr="00B320F0">
        <w:rPr>
          <w:rFonts w:ascii="Times New Roman" w:hAnsi="Times New Roman"/>
          <w:i/>
          <w:iCs/>
          <w:sz w:val="24"/>
          <w:szCs w:val="24"/>
          <w:lang w:val="en-US"/>
        </w:rPr>
        <w:t xml:space="preserve"> </w:t>
      </w:r>
      <w:r w:rsidRPr="00B320F0">
        <w:rPr>
          <w:rFonts w:ascii="Times New Roman" w:hAnsi="Times New Roman"/>
          <w:i/>
          <w:iCs/>
          <w:sz w:val="24"/>
          <w:szCs w:val="24"/>
          <w:lang w:val="en-US"/>
        </w:rPr>
        <w:t>virgifera</w:t>
      </w:r>
      <w:r w:rsidRPr="00B320F0">
        <w:rPr>
          <w:rFonts w:ascii="Times New Roman" w:hAnsi="Times New Roman"/>
          <w:sz w:val="24"/>
          <w:szCs w:val="24"/>
          <w:lang w:val="en-US"/>
        </w:rPr>
        <w:t xml:space="preserve"> of unknown sex and age, collected from a maize field in early August 2021, were used in the bioassays.</w:t>
      </w:r>
      <w:r w:rsidR="005A7597">
        <w:rPr>
          <w:rFonts w:ascii="Times New Roman" w:hAnsi="Times New Roman"/>
          <w:sz w:val="24"/>
          <w:szCs w:val="24"/>
        </w:rPr>
        <w:t xml:space="preserve"> </w:t>
      </w:r>
      <w:r w:rsidRPr="00B320F0">
        <w:rPr>
          <w:rFonts w:ascii="Times New Roman" w:hAnsi="Times New Roman"/>
          <w:sz w:val="24"/>
          <w:szCs w:val="24"/>
          <w:lang w:val="en-US"/>
        </w:rPr>
        <w:t>Two laboratory experiments were conducted to evaluate the biological activity of white oregano essential oil (EO) against adult</w:t>
      </w:r>
      <w:r w:rsidR="00206A5A">
        <w:rPr>
          <w:rFonts w:ascii="Times New Roman" w:hAnsi="Times New Roman"/>
          <w:sz w:val="24"/>
          <w:szCs w:val="24"/>
          <w:lang w:val="en-US"/>
        </w:rPr>
        <w:t>s of the</w:t>
      </w:r>
      <w:r w:rsidRPr="00B320F0">
        <w:rPr>
          <w:rFonts w:ascii="Times New Roman" w:hAnsi="Times New Roman"/>
          <w:sz w:val="24"/>
          <w:szCs w:val="24"/>
          <w:lang w:val="en-US"/>
        </w:rPr>
        <w:t xml:space="preserve"> western corn rootworms.</w:t>
      </w:r>
      <w:r w:rsidR="005A7597">
        <w:rPr>
          <w:rFonts w:ascii="Times New Roman" w:hAnsi="Times New Roman"/>
          <w:sz w:val="24"/>
          <w:szCs w:val="24"/>
        </w:rPr>
        <w:t xml:space="preserve"> </w:t>
      </w:r>
      <w:r w:rsidRPr="00B320F0">
        <w:rPr>
          <w:rFonts w:ascii="Times New Roman" w:hAnsi="Times New Roman"/>
          <w:sz w:val="24"/>
          <w:szCs w:val="24"/>
          <w:lang w:val="en-US"/>
        </w:rPr>
        <w:t>In a preliminary experiment, three volumes of undiluted white oregano EO (3 μl, 5 μl, and 10 μl) were tested to assess its biological activity. Each volume was applied separately to the filter paper lining the bottom of a Petri dish using an automatic micropipette.</w:t>
      </w:r>
      <w:r w:rsidR="005A7597">
        <w:rPr>
          <w:rFonts w:ascii="Times New Roman" w:hAnsi="Times New Roman"/>
          <w:sz w:val="24"/>
          <w:szCs w:val="24"/>
        </w:rPr>
        <w:t xml:space="preserve"> </w:t>
      </w:r>
      <w:r w:rsidRPr="00B320F0">
        <w:rPr>
          <w:rFonts w:ascii="Times New Roman" w:hAnsi="Times New Roman"/>
          <w:sz w:val="24"/>
          <w:szCs w:val="24"/>
          <w:lang w:val="en-US"/>
        </w:rPr>
        <w:t>In the subsequent experiment, the activity of white oregano EO was evaluated in distilled water containing 0.01% (v/v) Tween 80®. The tested concentrations were 0.01 μl/ml, 0.1 μl/ml, 1 μl/ml, and 10 μl/ml. One millilitre of each solution was applied separately to the filter paper covering the bottom of a sterile Petri dish (85 mm diameter × 17 mm height). In the control treatment, the filter paper was treated with 1 ml of distilled water containing 0.01% (v/v) Tween 80®.</w:t>
      </w:r>
      <w:r w:rsidR="00CD5F2C" w:rsidRPr="00CD5F2C">
        <w:t xml:space="preserve"> </w:t>
      </w:r>
      <w:r w:rsidR="00CD5F2C" w:rsidRPr="00CD5F2C">
        <w:rPr>
          <w:rFonts w:ascii="Times New Roman" w:hAnsi="Times New Roman"/>
          <w:sz w:val="24"/>
          <w:szCs w:val="24"/>
          <w:lang w:val="en-US"/>
        </w:rPr>
        <w:t xml:space="preserve">The experiments were performed in </w:t>
      </w:r>
      <w:r w:rsidR="00CD5F2C">
        <w:rPr>
          <w:rFonts w:ascii="Times New Roman" w:hAnsi="Times New Roman"/>
          <w:sz w:val="24"/>
          <w:szCs w:val="24"/>
          <w:lang w:val="en-US"/>
        </w:rPr>
        <w:t>3 replicates</w:t>
      </w:r>
      <w:r w:rsidR="00CD5F2C" w:rsidRPr="00CD5F2C">
        <w:rPr>
          <w:rFonts w:ascii="Times New Roman" w:hAnsi="Times New Roman"/>
          <w:sz w:val="24"/>
          <w:szCs w:val="24"/>
          <w:lang w:val="en-US"/>
        </w:rPr>
        <w:t xml:space="preserve">, with the number of experimental insects in a Petri dish being 24 (SE: </w:t>
      </w:r>
      <w:r w:rsidR="00CD5F2C">
        <w:rPr>
          <w:rFonts w:ascii="Times New Roman" w:hAnsi="Times New Roman"/>
          <w:sz w:val="24"/>
          <w:szCs w:val="24"/>
          <w:lang w:val="en-US"/>
        </w:rPr>
        <w:sym w:font="Symbol" w:char="F0B1"/>
      </w:r>
      <w:r w:rsidR="00CD5F2C" w:rsidRPr="00CD5F2C">
        <w:rPr>
          <w:rFonts w:ascii="Times New Roman" w:hAnsi="Times New Roman"/>
          <w:sz w:val="24"/>
          <w:szCs w:val="24"/>
          <w:lang w:val="en-US"/>
        </w:rPr>
        <w:t xml:space="preserve"> 3) in the first experiment and 28 (SE: </w:t>
      </w:r>
      <w:r w:rsidR="00CD5F2C">
        <w:rPr>
          <w:rFonts w:ascii="Times New Roman" w:hAnsi="Times New Roman"/>
          <w:sz w:val="24"/>
          <w:szCs w:val="24"/>
          <w:lang w:val="en-US"/>
        </w:rPr>
        <w:sym w:font="Symbol" w:char="F0B1"/>
      </w:r>
      <w:r w:rsidR="00CD5F2C" w:rsidRPr="00CD5F2C">
        <w:rPr>
          <w:rFonts w:ascii="Times New Roman" w:hAnsi="Times New Roman"/>
          <w:sz w:val="24"/>
          <w:szCs w:val="24"/>
          <w:lang w:val="en-US"/>
        </w:rPr>
        <w:t xml:space="preserve"> 1) in the second.</w:t>
      </w:r>
    </w:p>
    <w:p w:rsidR="000755AF" w:rsidRPr="000755AF" w:rsidRDefault="000755AF" w:rsidP="000755AF">
      <w:pPr>
        <w:spacing w:before="100" w:beforeAutospacing="1" w:after="100" w:afterAutospacing="1" w:line="240" w:lineRule="auto"/>
        <w:ind w:firstLine="0"/>
        <w:jc w:val="left"/>
        <w:outlineLvl w:val="3"/>
        <w:rPr>
          <w:rFonts w:ascii="Times New Roman" w:hAnsi="Times New Roman"/>
          <w:b/>
          <w:bCs/>
          <w:sz w:val="24"/>
          <w:szCs w:val="24"/>
          <w:lang w:val="en-US"/>
        </w:rPr>
      </w:pPr>
      <w:r w:rsidRPr="000755AF">
        <w:rPr>
          <w:rFonts w:ascii="Times New Roman" w:hAnsi="Times New Roman"/>
          <w:b/>
          <w:bCs/>
          <w:sz w:val="24"/>
          <w:szCs w:val="24"/>
          <w:lang w:val="en-US"/>
        </w:rPr>
        <w:t xml:space="preserve">3.2.7. Evaluation of the lethal effect of a </w:t>
      </w:r>
      <w:r w:rsidRPr="000755AF">
        <w:rPr>
          <w:rFonts w:ascii="Times New Roman" w:hAnsi="Times New Roman"/>
          <w:b/>
          <w:bCs/>
          <w:i/>
          <w:iCs/>
          <w:sz w:val="24"/>
          <w:szCs w:val="24"/>
          <w:lang w:val="en-US"/>
        </w:rPr>
        <w:t>Metarhizium pemphigi</w:t>
      </w:r>
      <w:r w:rsidRPr="000755AF">
        <w:rPr>
          <w:rFonts w:ascii="Times New Roman" w:hAnsi="Times New Roman"/>
          <w:b/>
          <w:bCs/>
          <w:sz w:val="24"/>
          <w:szCs w:val="24"/>
          <w:lang w:val="en-US"/>
        </w:rPr>
        <w:t xml:space="preserve"> strain on adult </w:t>
      </w:r>
      <w:r w:rsidRPr="000755AF">
        <w:rPr>
          <w:rFonts w:ascii="Times New Roman" w:hAnsi="Times New Roman"/>
          <w:b/>
          <w:bCs/>
          <w:i/>
          <w:iCs/>
          <w:sz w:val="24"/>
          <w:szCs w:val="24"/>
          <w:lang w:val="en-US"/>
        </w:rPr>
        <w:t>Diabrotica virgifera virgifera</w:t>
      </w:r>
      <w:r w:rsidRPr="000755AF">
        <w:rPr>
          <w:rFonts w:ascii="Times New Roman" w:hAnsi="Times New Roman"/>
          <w:b/>
          <w:bCs/>
          <w:sz w:val="24"/>
          <w:szCs w:val="24"/>
          <w:lang w:val="en-US"/>
        </w:rPr>
        <w:t xml:space="preserve"> under laboratory conditions</w:t>
      </w:r>
    </w:p>
    <w:p w:rsidR="000755AF" w:rsidRDefault="000755AF" w:rsidP="00BF6A3C">
      <w:pPr>
        <w:spacing w:before="100" w:beforeAutospacing="1" w:after="100" w:afterAutospacing="1"/>
        <w:ind w:firstLine="567"/>
        <w:rPr>
          <w:rFonts w:ascii="Times New Roman" w:hAnsi="Times New Roman"/>
          <w:sz w:val="24"/>
          <w:szCs w:val="24"/>
          <w:lang w:val="en-US"/>
        </w:rPr>
      </w:pPr>
      <w:r w:rsidRPr="000755AF">
        <w:rPr>
          <w:rFonts w:ascii="Times New Roman" w:hAnsi="Times New Roman"/>
          <w:sz w:val="24"/>
          <w:szCs w:val="24"/>
          <w:lang w:val="en-US"/>
        </w:rPr>
        <w:lastRenderedPageBreak/>
        <w:t xml:space="preserve">The </w:t>
      </w:r>
      <w:r w:rsidRPr="000755AF">
        <w:rPr>
          <w:rFonts w:ascii="Times New Roman" w:hAnsi="Times New Roman"/>
          <w:i/>
          <w:iCs/>
          <w:sz w:val="24"/>
          <w:szCs w:val="24"/>
          <w:lang w:val="en-US"/>
        </w:rPr>
        <w:t>Metarhizium pemphigi</w:t>
      </w:r>
      <w:r w:rsidRPr="000755AF">
        <w:rPr>
          <w:rFonts w:ascii="Times New Roman" w:hAnsi="Times New Roman"/>
          <w:sz w:val="24"/>
          <w:szCs w:val="24"/>
          <w:lang w:val="en-US"/>
        </w:rPr>
        <w:t xml:space="preserve"> </w:t>
      </w:r>
      <w:r w:rsidR="008938B6" w:rsidRPr="008938B6">
        <w:rPr>
          <w:rFonts w:ascii="Times New Roman" w:hAnsi="Times New Roman"/>
          <w:sz w:val="24"/>
          <w:szCs w:val="24"/>
          <w:lang w:val="en-US"/>
        </w:rPr>
        <w:t xml:space="preserve">(Driver и R.J. Milner) Kepler, S.A. Rehner и Humber </w:t>
      </w:r>
      <w:r w:rsidRPr="000755AF">
        <w:rPr>
          <w:rFonts w:ascii="Times New Roman" w:hAnsi="Times New Roman"/>
          <w:sz w:val="24"/>
          <w:szCs w:val="24"/>
          <w:lang w:val="en-US"/>
        </w:rPr>
        <w:t>strain AMEP28 used in this study was isolated from an unidentified ground beetle (Coleoptera: Carabidae) and was kindly provided by Dr. Marek Barta (Institute of Forest Ecology, Nitra, Slovakia) for collaborative research.</w:t>
      </w:r>
      <w:r w:rsidR="005A7597">
        <w:rPr>
          <w:rFonts w:ascii="Times New Roman" w:hAnsi="Times New Roman"/>
          <w:sz w:val="24"/>
          <w:szCs w:val="24"/>
        </w:rPr>
        <w:t xml:space="preserve"> </w:t>
      </w:r>
      <w:r w:rsidRPr="000755AF">
        <w:rPr>
          <w:rFonts w:ascii="Times New Roman" w:hAnsi="Times New Roman"/>
          <w:sz w:val="24"/>
          <w:szCs w:val="24"/>
          <w:lang w:val="en-US"/>
        </w:rPr>
        <w:t>The following conidial suspensions were evaluated: 2 × 10³, 2 × 10</w:t>
      </w:r>
      <w:r w:rsidRPr="000755AF">
        <w:rPr>
          <w:rFonts w:ascii="Cambria Math" w:hAnsi="Cambria Math" w:cs="Cambria Math"/>
          <w:sz w:val="24"/>
          <w:szCs w:val="24"/>
          <w:lang w:val="en-US"/>
        </w:rPr>
        <w:t>⁴</w:t>
      </w:r>
      <w:r w:rsidRPr="000755AF">
        <w:rPr>
          <w:rFonts w:ascii="Times New Roman" w:hAnsi="Times New Roman"/>
          <w:sz w:val="24"/>
          <w:szCs w:val="24"/>
          <w:lang w:val="en-US"/>
        </w:rPr>
        <w:t>, 2 × 10</w:t>
      </w:r>
      <w:r w:rsidRPr="000755AF">
        <w:rPr>
          <w:rFonts w:ascii="Cambria Math" w:hAnsi="Cambria Math" w:cs="Cambria Math"/>
          <w:sz w:val="24"/>
          <w:szCs w:val="24"/>
          <w:lang w:val="en-US"/>
        </w:rPr>
        <w:t>⁵</w:t>
      </w:r>
      <w:r w:rsidRPr="000755AF">
        <w:rPr>
          <w:rFonts w:ascii="Times New Roman" w:hAnsi="Times New Roman"/>
          <w:sz w:val="24"/>
          <w:szCs w:val="24"/>
          <w:lang w:val="en-US"/>
        </w:rPr>
        <w:t>, 2 × 10</w:t>
      </w:r>
      <w:r w:rsidRPr="000755AF">
        <w:rPr>
          <w:rFonts w:ascii="Cambria Math" w:hAnsi="Cambria Math" w:cs="Cambria Math"/>
          <w:sz w:val="24"/>
          <w:szCs w:val="24"/>
          <w:lang w:val="en-US"/>
        </w:rPr>
        <w:t>⁶</w:t>
      </w:r>
      <w:r w:rsidRPr="000755AF">
        <w:rPr>
          <w:rFonts w:ascii="Times New Roman" w:hAnsi="Times New Roman"/>
          <w:sz w:val="24"/>
          <w:szCs w:val="24"/>
          <w:lang w:val="en-US"/>
        </w:rPr>
        <w:t>, and 2 × 10</w:t>
      </w:r>
      <w:r w:rsidRPr="000755AF">
        <w:rPr>
          <w:rFonts w:ascii="Cambria Math" w:hAnsi="Cambria Math" w:cs="Cambria Math"/>
          <w:sz w:val="24"/>
          <w:szCs w:val="24"/>
          <w:lang w:val="en-US"/>
        </w:rPr>
        <w:t>⁷</w:t>
      </w:r>
      <w:r w:rsidRPr="000755AF">
        <w:rPr>
          <w:rFonts w:ascii="Times New Roman" w:hAnsi="Times New Roman"/>
          <w:sz w:val="24"/>
          <w:szCs w:val="24"/>
          <w:lang w:val="en-US"/>
        </w:rPr>
        <w:t xml:space="preserve"> conidia/ml.</w:t>
      </w:r>
      <w:r w:rsidR="005A7597">
        <w:rPr>
          <w:rFonts w:ascii="Times New Roman" w:hAnsi="Times New Roman"/>
          <w:sz w:val="24"/>
          <w:szCs w:val="24"/>
        </w:rPr>
        <w:t xml:space="preserve"> </w:t>
      </w:r>
      <w:r w:rsidRPr="000755AF">
        <w:rPr>
          <w:rFonts w:ascii="Times New Roman" w:hAnsi="Times New Roman"/>
          <w:sz w:val="24"/>
          <w:szCs w:val="24"/>
          <w:lang w:val="en-US"/>
        </w:rPr>
        <w:t xml:space="preserve">The insecticidal activity of the entomopathogenic fungus was assessed using the filter paper bioassay method. One millilitre of each conidial suspension was applied to a filter paper disc placed at the bottom of a sterile Petri dish. Randomly selected adult </w:t>
      </w:r>
      <w:r w:rsidRPr="000755AF">
        <w:rPr>
          <w:rFonts w:ascii="Times New Roman" w:hAnsi="Times New Roman"/>
          <w:i/>
          <w:iCs/>
          <w:sz w:val="24"/>
          <w:szCs w:val="24"/>
          <w:lang w:val="en-US"/>
        </w:rPr>
        <w:t>D. virgifera virgifera</w:t>
      </w:r>
      <w:r w:rsidRPr="000755AF">
        <w:rPr>
          <w:rFonts w:ascii="Times New Roman" w:hAnsi="Times New Roman"/>
          <w:sz w:val="24"/>
          <w:szCs w:val="24"/>
          <w:lang w:val="en-US"/>
        </w:rPr>
        <w:t xml:space="preserve"> of unknown sex and age were used in the experiment.</w:t>
      </w:r>
      <w:r w:rsidR="005A7597">
        <w:rPr>
          <w:rFonts w:ascii="Times New Roman" w:hAnsi="Times New Roman"/>
          <w:sz w:val="24"/>
          <w:szCs w:val="24"/>
        </w:rPr>
        <w:t xml:space="preserve"> </w:t>
      </w:r>
      <w:r w:rsidR="00864849" w:rsidRPr="00864849">
        <w:rPr>
          <w:rFonts w:ascii="Times New Roman" w:hAnsi="Times New Roman"/>
          <w:sz w:val="24"/>
          <w:szCs w:val="24"/>
        </w:rPr>
        <w:t xml:space="preserve">A total of 413 adult individuals were used in this bioassay. </w:t>
      </w:r>
      <w:r w:rsidRPr="000755AF">
        <w:rPr>
          <w:rFonts w:ascii="Times New Roman" w:hAnsi="Times New Roman"/>
          <w:sz w:val="24"/>
          <w:szCs w:val="24"/>
          <w:lang w:val="en-US"/>
        </w:rPr>
        <w:t>The numbers of live and dead insects were recorded daily for 10 days following treatment. Dead insects were transferred to new Petri dishes (55 mm diameter) lined with moist filter paper and incubated at 24 ± 1 °C to confirm fungal outgrowth (mycosis).</w:t>
      </w:r>
    </w:p>
    <w:p w:rsidR="000755AF" w:rsidRPr="000755AF" w:rsidRDefault="000755AF" w:rsidP="000755AF">
      <w:pPr>
        <w:spacing w:before="100" w:beforeAutospacing="1" w:after="100" w:afterAutospacing="1" w:line="240" w:lineRule="auto"/>
        <w:ind w:firstLine="0"/>
        <w:jc w:val="left"/>
        <w:outlineLvl w:val="2"/>
        <w:rPr>
          <w:rFonts w:ascii="Times New Roman" w:hAnsi="Times New Roman"/>
          <w:b/>
          <w:bCs/>
          <w:sz w:val="27"/>
          <w:szCs w:val="27"/>
          <w:lang w:val="en-US"/>
        </w:rPr>
      </w:pPr>
      <w:r w:rsidRPr="000755AF">
        <w:rPr>
          <w:rFonts w:ascii="Times New Roman" w:hAnsi="Times New Roman"/>
          <w:b/>
          <w:bCs/>
          <w:sz w:val="27"/>
          <w:szCs w:val="27"/>
          <w:lang w:val="en-US"/>
        </w:rPr>
        <w:t xml:space="preserve">3.3. </w:t>
      </w:r>
      <w:r w:rsidRPr="000755AF">
        <w:rPr>
          <w:rFonts w:ascii="Times New Roman" w:hAnsi="Times New Roman"/>
          <w:b/>
          <w:bCs/>
          <w:i/>
          <w:iCs/>
          <w:sz w:val="27"/>
          <w:szCs w:val="27"/>
          <w:lang w:val="en-US"/>
        </w:rPr>
        <w:t>Oulema melanopus</w:t>
      </w:r>
    </w:p>
    <w:p w:rsidR="000755AF" w:rsidRPr="000755AF" w:rsidRDefault="000755AF" w:rsidP="000755AF">
      <w:pPr>
        <w:spacing w:before="100" w:beforeAutospacing="1" w:after="100" w:afterAutospacing="1" w:line="240" w:lineRule="auto"/>
        <w:ind w:firstLine="0"/>
        <w:jc w:val="left"/>
        <w:outlineLvl w:val="3"/>
        <w:rPr>
          <w:rFonts w:ascii="Times New Roman" w:hAnsi="Times New Roman"/>
          <w:b/>
          <w:bCs/>
          <w:sz w:val="24"/>
          <w:szCs w:val="24"/>
          <w:lang w:val="en-US"/>
        </w:rPr>
      </w:pPr>
      <w:r w:rsidRPr="000755AF">
        <w:rPr>
          <w:rFonts w:ascii="Times New Roman" w:hAnsi="Times New Roman"/>
          <w:b/>
          <w:bCs/>
          <w:sz w:val="24"/>
          <w:szCs w:val="24"/>
          <w:lang w:val="en-US"/>
        </w:rPr>
        <w:t>3.3.1. Experimental insects for laboratory studies</w:t>
      </w:r>
    </w:p>
    <w:p w:rsidR="000755AF" w:rsidRPr="000755AF" w:rsidRDefault="000755AF" w:rsidP="00864849">
      <w:pPr>
        <w:spacing w:before="100" w:beforeAutospacing="1" w:after="100" w:afterAutospacing="1"/>
        <w:ind w:firstLine="567"/>
        <w:rPr>
          <w:rFonts w:ascii="Times New Roman" w:hAnsi="Times New Roman"/>
          <w:sz w:val="24"/>
          <w:szCs w:val="24"/>
          <w:lang w:val="en-US"/>
        </w:rPr>
      </w:pPr>
      <w:r w:rsidRPr="000755AF">
        <w:rPr>
          <w:rFonts w:ascii="Times New Roman" w:hAnsi="Times New Roman"/>
          <w:sz w:val="24"/>
          <w:szCs w:val="24"/>
          <w:lang w:val="en-US"/>
        </w:rPr>
        <w:t xml:space="preserve">Adults and larvae of </w:t>
      </w:r>
      <w:r w:rsidRPr="000755AF">
        <w:rPr>
          <w:rFonts w:ascii="Times New Roman" w:hAnsi="Times New Roman"/>
          <w:i/>
          <w:iCs/>
          <w:sz w:val="24"/>
          <w:szCs w:val="24"/>
          <w:lang w:val="en-US"/>
        </w:rPr>
        <w:t>Oulema melanopus</w:t>
      </w:r>
      <w:r w:rsidRPr="000755AF">
        <w:rPr>
          <w:rFonts w:ascii="Times New Roman" w:hAnsi="Times New Roman"/>
          <w:sz w:val="24"/>
          <w:szCs w:val="24"/>
          <w:lang w:val="en-US"/>
        </w:rPr>
        <w:t xml:space="preserve"> were collected by hand from an oat field at the MRI, Knezha. Adult beetles were collected in June 2019, whereas larvae were collected in June 2021. Species identification was performed using the identification key of Gruev and Tomov (1986).</w:t>
      </w:r>
      <w:r w:rsidR="005A7597">
        <w:rPr>
          <w:rFonts w:ascii="Times New Roman" w:hAnsi="Times New Roman"/>
          <w:sz w:val="24"/>
          <w:szCs w:val="24"/>
        </w:rPr>
        <w:t xml:space="preserve"> </w:t>
      </w:r>
      <w:r w:rsidRPr="000755AF">
        <w:rPr>
          <w:rFonts w:ascii="Times New Roman" w:hAnsi="Times New Roman"/>
          <w:sz w:val="24"/>
          <w:szCs w:val="24"/>
          <w:lang w:val="en-US"/>
        </w:rPr>
        <w:t>The larvae were approximately 6 mm in length. The head capsule width of randomly selected larvae corresponded to the third and fourth larval instars according to Hoxie and Wellso (1974).</w:t>
      </w:r>
    </w:p>
    <w:p w:rsidR="000755AF" w:rsidRPr="000755AF" w:rsidRDefault="000755AF" w:rsidP="000755AF">
      <w:pPr>
        <w:spacing w:before="100" w:beforeAutospacing="1" w:after="100" w:afterAutospacing="1"/>
        <w:ind w:firstLine="0"/>
        <w:outlineLvl w:val="3"/>
        <w:rPr>
          <w:rFonts w:ascii="Times New Roman" w:hAnsi="Times New Roman"/>
          <w:b/>
          <w:bCs/>
          <w:sz w:val="24"/>
          <w:szCs w:val="24"/>
          <w:lang w:val="en-US"/>
        </w:rPr>
      </w:pPr>
      <w:r w:rsidRPr="000755AF">
        <w:rPr>
          <w:rFonts w:ascii="Times New Roman" w:hAnsi="Times New Roman"/>
          <w:b/>
          <w:bCs/>
          <w:sz w:val="24"/>
          <w:szCs w:val="24"/>
          <w:lang w:val="en-US"/>
        </w:rPr>
        <w:t xml:space="preserve">3.3.2. Evaluation of the efficacy of the bioinsecticide Naturalis against adult </w:t>
      </w:r>
      <w:r w:rsidRPr="000755AF">
        <w:rPr>
          <w:rFonts w:ascii="Times New Roman" w:hAnsi="Times New Roman"/>
          <w:b/>
          <w:bCs/>
          <w:i/>
          <w:iCs/>
          <w:sz w:val="24"/>
          <w:szCs w:val="24"/>
          <w:lang w:val="en-US"/>
        </w:rPr>
        <w:t>Oulema melanopus</w:t>
      </w:r>
      <w:r w:rsidRPr="000755AF">
        <w:rPr>
          <w:rFonts w:ascii="Times New Roman" w:hAnsi="Times New Roman"/>
          <w:b/>
          <w:bCs/>
          <w:sz w:val="24"/>
          <w:szCs w:val="24"/>
          <w:lang w:val="en-US"/>
        </w:rPr>
        <w:t xml:space="preserve"> under laboratory conditions</w:t>
      </w:r>
    </w:p>
    <w:p w:rsidR="000755AF" w:rsidRPr="000755AF" w:rsidRDefault="000755AF" w:rsidP="00864849">
      <w:pPr>
        <w:spacing w:before="100" w:beforeAutospacing="1" w:after="100" w:afterAutospacing="1"/>
        <w:ind w:firstLine="567"/>
        <w:rPr>
          <w:rFonts w:ascii="Times New Roman" w:hAnsi="Times New Roman"/>
          <w:sz w:val="24"/>
          <w:szCs w:val="24"/>
          <w:lang w:val="en-US"/>
        </w:rPr>
      </w:pPr>
      <w:r w:rsidRPr="000755AF">
        <w:rPr>
          <w:rFonts w:ascii="Times New Roman" w:hAnsi="Times New Roman"/>
          <w:sz w:val="24"/>
          <w:szCs w:val="24"/>
          <w:lang w:val="en-US"/>
        </w:rPr>
        <w:t>The following conidial suspensions of Naturalis were evaluated in Petri dishes with three replicates per treatment: 2.3 × 10²</w:t>
      </w:r>
      <w:r w:rsidR="00864849">
        <w:rPr>
          <w:rFonts w:ascii="Times New Roman" w:hAnsi="Times New Roman"/>
          <w:sz w:val="24"/>
          <w:szCs w:val="24"/>
          <w:lang w:val="en-US"/>
        </w:rPr>
        <w:t xml:space="preserve"> </w:t>
      </w:r>
      <w:r w:rsidRPr="000755AF">
        <w:rPr>
          <w:rFonts w:ascii="Times New Roman" w:hAnsi="Times New Roman"/>
          <w:sz w:val="24"/>
          <w:szCs w:val="24"/>
          <w:lang w:val="en-US"/>
        </w:rPr>
        <w:t>–</w:t>
      </w:r>
      <w:r w:rsidR="00864849">
        <w:rPr>
          <w:rFonts w:ascii="Times New Roman" w:hAnsi="Times New Roman"/>
          <w:sz w:val="24"/>
          <w:szCs w:val="24"/>
          <w:lang w:val="en-US"/>
        </w:rPr>
        <w:t xml:space="preserve"> </w:t>
      </w:r>
      <w:r w:rsidRPr="000755AF">
        <w:rPr>
          <w:rFonts w:ascii="Times New Roman" w:hAnsi="Times New Roman"/>
          <w:sz w:val="24"/>
          <w:szCs w:val="24"/>
          <w:lang w:val="en-US"/>
        </w:rPr>
        <w:t>2.3 × 10</w:t>
      </w:r>
      <w:r w:rsidRPr="000755AF">
        <w:rPr>
          <w:rFonts w:ascii="Cambria Math" w:hAnsi="Cambria Math" w:cs="Cambria Math"/>
          <w:sz w:val="24"/>
          <w:szCs w:val="24"/>
          <w:lang w:val="en-US"/>
        </w:rPr>
        <w:t>⁷</w:t>
      </w:r>
      <w:r w:rsidRPr="000755AF">
        <w:rPr>
          <w:rFonts w:ascii="Times New Roman" w:hAnsi="Times New Roman"/>
          <w:sz w:val="24"/>
          <w:szCs w:val="24"/>
          <w:lang w:val="en-US"/>
        </w:rPr>
        <w:t xml:space="preserve"> conidia/ml.</w:t>
      </w:r>
      <w:r w:rsidR="005A7597">
        <w:rPr>
          <w:rFonts w:ascii="Times New Roman" w:hAnsi="Times New Roman"/>
          <w:sz w:val="24"/>
          <w:szCs w:val="24"/>
        </w:rPr>
        <w:t xml:space="preserve"> </w:t>
      </w:r>
      <w:r w:rsidRPr="000755AF">
        <w:rPr>
          <w:rFonts w:ascii="Times New Roman" w:hAnsi="Times New Roman"/>
          <w:sz w:val="24"/>
          <w:szCs w:val="24"/>
          <w:lang w:val="en-US"/>
        </w:rPr>
        <w:t>One millilitre of each suspension was applied to the filter paper lining the bottom of a sterile plastic Petri dish (ISOLAB, 85 mm diameter) using an automatic micropipette fitted with disposable tips. In the control treatment, also performed in three replicates, 1 ml of distilled water was applied instead.</w:t>
      </w:r>
      <w:r w:rsidR="005A7597">
        <w:rPr>
          <w:rFonts w:ascii="Times New Roman" w:hAnsi="Times New Roman"/>
          <w:sz w:val="24"/>
          <w:szCs w:val="24"/>
        </w:rPr>
        <w:t xml:space="preserve"> </w:t>
      </w:r>
      <w:r w:rsidRPr="000755AF">
        <w:rPr>
          <w:rFonts w:ascii="Times New Roman" w:hAnsi="Times New Roman"/>
          <w:sz w:val="24"/>
          <w:szCs w:val="24"/>
          <w:lang w:val="en-US"/>
        </w:rPr>
        <w:t xml:space="preserve">Subsequently, 21 adult </w:t>
      </w:r>
      <w:r w:rsidR="00864849">
        <w:rPr>
          <w:rFonts w:ascii="Times New Roman" w:hAnsi="Times New Roman"/>
          <w:sz w:val="24"/>
          <w:szCs w:val="24"/>
          <w:lang w:val="en-US"/>
        </w:rPr>
        <w:t xml:space="preserve">of the </w:t>
      </w:r>
      <w:r w:rsidRPr="000755AF">
        <w:rPr>
          <w:rFonts w:ascii="Times New Roman" w:hAnsi="Times New Roman"/>
          <w:sz w:val="24"/>
          <w:szCs w:val="24"/>
          <w:lang w:val="en-US"/>
        </w:rPr>
        <w:t xml:space="preserve">cereal leaf beetle were introduced into each Petri dish. Insect mortality was recorded </w:t>
      </w:r>
      <w:r w:rsidRPr="000755AF">
        <w:rPr>
          <w:rFonts w:ascii="Times New Roman" w:hAnsi="Times New Roman"/>
          <w:sz w:val="24"/>
          <w:szCs w:val="24"/>
          <w:lang w:val="en-US"/>
        </w:rPr>
        <w:lastRenderedPageBreak/>
        <w:t>at 24-h intervals for 10 days after treatment. Dead insects were transferred to new Petri dishes containing filter paper moistened with distilled water and incubated to allow fungal outgrowth (mycosis).</w:t>
      </w:r>
    </w:p>
    <w:p w:rsidR="000755AF" w:rsidRPr="000755AF" w:rsidRDefault="000755AF" w:rsidP="00BF6A3C">
      <w:pPr>
        <w:ind w:firstLine="0"/>
        <w:outlineLvl w:val="3"/>
        <w:rPr>
          <w:rFonts w:ascii="Times New Roman" w:hAnsi="Times New Roman"/>
          <w:b/>
          <w:bCs/>
          <w:sz w:val="24"/>
          <w:szCs w:val="24"/>
          <w:lang w:val="en-US"/>
        </w:rPr>
      </w:pPr>
      <w:r w:rsidRPr="000755AF">
        <w:rPr>
          <w:rFonts w:ascii="Times New Roman" w:hAnsi="Times New Roman"/>
          <w:b/>
          <w:bCs/>
          <w:sz w:val="24"/>
          <w:szCs w:val="24"/>
          <w:lang w:val="en-US"/>
        </w:rPr>
        <w:t xml:space="preserve">3.3.3. Evaluation of the efficacy of the bioinsecticide Naturalis against </w:t>
      </w:r>
      <w:r w:rsidRPr="000755AF">
        <w:rPr>
          <w:rFonts w:ascii="Times New Roman" w:hAnsi="Times New Roman"/>
          <w:b/>
          <w:bCs/>
          <w:i/>
          <w:iCs/>
          <w:sz w:val="24"/>
          <w:szCs w:val="24"/>
          <w:lang w:val="en-US"/>
        </w:rPr>
        <w:t>Oulema melanopus</w:t>
      </w:r>
      <w:r w:rsidRPr="000755AF">
        <w:rPr>
          <w:rFonts w:ascii="Times New Roman" w:hAnsi="Times New Roman"/>
          <w:b/>
          <w:bCs/>
          <w:sz w:val="24"/>
          <w:szCs w:val="24"/>
          <w:lang w:val="en-US"/>
        </w:rPr>
        <w:t xml:space="preserve"> larvae under laboratory conditions</w:t>
      </w:r>
    </w:p>
    <w:p w:rsidR="000755AF" w:rsidRPr="000755AF" w:rsidRDefault="000755AF" w:rsidP="00BF6A3C">
      <w:pPr>
        <w:ind w:firstLine="567"/>
        <w:rPr>
          <w:rFonts w:ascii="Times New Roman" w:hAnsi="Times New Roman"/>
          <w:sz w:val="24"/>
          <w:szCs w:val="24"/>
          <w:lang w:val="en-US"/>
        </w:rPr>
      </w:pPr>
      <w:r w:rsidRPr="000755AF">
        <w:rPr>
          <w:rFonts w:ascii="Times New Roman" w:hAnsi="Times New Roman"/>
          <w:sz w:val="24"/>
          <w:szCs w:val="24"/>
          <w:lang w:val="en-US"/>
        </w:rPr>
        <w:t>The same serial dilutions of Naturalis used in the adult bioassay were prepared in distilled water (2.3 × 10²</w:t>
      </w:r>
      <w:r w:rsidR="00864849">
        <w:rPr>
          <w:rFonts w:ascii="Times New Roman" w:hAnsi="Times New Roman"/>
          <w:sz w:val="24"/>
          <w:szCs w:val="24"/>
          <w:lang w:val="en-US"/>
        </w:rPr>
        <w:t xml:space="preserve"> </w:t>
      </w:r>
      <w:r w:rsidRPr="000755AF">
        <w:rPr>
          <w:rFonts w:ascii="Times New Roman" w:hAnsi="Times New Roman"/>
          <w:sz w:val="24"/>
          <w:szCs w:val="24"/>
          <w:lang w:val="en-US"/>
        </w:rPr>
        <w:t>–</w:t>
      </w:r>
      <w:r w:rsidR="00864849">
        <w:rPr>
          <w:rFonts w:ascii="Times New Roman" w:hAnsi="Times New Roman"/>
          <w:sz w:val="24"/>
          <w:szCs w:val="24"/>
          <w:lang w:val="en-US"/>
        </w:rPr>
        <w:t xml:space="preserve"> </w:t>
      </w:r>
      <w:r w:rsidRPr="000755AF">
        <w:rPr>
          <w:rFonts w:ascii="Times New Roman" w:hAnsi="Times New Roman"/>
          <w:sz w:val="24"/>
          <w:szCs w:val="24"/>
          <w:lang w:val="en-US"/>
        </w:rPr>
        <w:t>2.3 × 10</w:t>
      </w:r>
      <w:r w:rsidRPr="000755AF">
        <w:rPr>
          <w:rFonts w:ascii="Cambria Math" w:hAnsi="Cambria Math" w:cs="Cambria Math"/>
          <w:sz w:val="24"/>
          <w:szCs w:val="24"/>
          <w:lang w:val="en-US"/>
        </w:rPr>
        <w:t>⁷</w:t>
      </w:r>
      <w:r w:rsidRPr="000755AF">
        <w:rPr>
          <w:rFonts w:ascii="Times New Roman" w:hAnsi="Times New Roman"/>
          <w:sz w:val="24"/>
          <w:szCs w:val="24"/>
          <w:lang w:val="en-US"/>
        </w:rPr>
        <w:t xml:space="preserve"> conidia/ml).</w:t>
      </w:r>
      <w:r>
        <w:rPr>
          <w:rFonts w:ascii="Times New Roman" w:hAnsi="Times New Roman"/>
          <w:sz w:val="24"/>
          <w:szCs w:val="24"/>
        </w:rPr>
        <w:t xml:space="preserve"> </w:t>
      </w:r>
      <w:r w:rsidRPr="000755AF">
        <w:rPr>
          <w:rFonts w:ascii="Times New Roman" w:hAnsi="Times New Roman"/>
          <w:sz w:val="24"/>
          <w:szCs w:val="24"/>
          <w:lang w:val="en-US"/>
        </w:rPr>
        <w:t>One millilitre of each concentration, including the undiluted commercial formulation (2.3 × 10</w:t>
      </w:r>
      <w:r w:rsidRPr="000755AF">
        <w:rPr>
          <w:rFonts w:ascii="Cambria Math" w:hAnsi="Cambria Math" w:cs="Cambria Math"/>
          <w:sz w:val="24"/>
          <w:szCs w:val="24"/>
          <w:lang w:val="en-US"/>
        </w:rPr>
        <w:t>⁷</w:t>
      </w:r>
      <w:r w:rsidRPr="000755AF">
        <w:rPr>
          <w:rFonts w:ascii="Times New Roman" w:hAnsi="Times New Roman"/>
          <w:sz w:val="24"/>
          <w:szCs w:val="24"/>
          <w:lang w:val="en-US"/>
        </w:rPr>
        <w:t xml:space="preserve"> conidia/ml), was evenly distributed over the surface of the filter paper placed at the bottom of a sterile Petri dish (ISOLAB, 85 mm diameter). Distilled water (1 ml) was used in the control treatment. Each treatment was evaluated in three replicates</w:t>
      </w:r>
      <w:r w:rsidR="00864849" w:rsidRPr="00864849">
        <w:rPr>
          <w:rFonts w:ascii="Times New Roman" w:hAnsi="Times New Roman"/>
          <w:sz w:val="24"/>
          <w:szCs w:val="24"/>
          <w:lang w:val="en-US"/>
        </w:rPr>
        <w:t>, with 20 larvae placed in each Petri dish</w:t>
      </w:r>
      <w:r w:rsidRPr="000755AF">
        <w:rPr>
          <w:rFonts w:ascii="Times New Roman" w:hAnsi="Times New Roman"/>
          <w:sz w:val="24"/>
          <w:szCs w:val="24"/>
          <w:lang w:val="en-US"/>
        </w:rPr>
        <w:t>.</w:t>
      </w:r>
      <w:r>
        <w:rPr>
          <w:rFonts w:ascii="Times New Roman" w:hAnsi="Times New Roman"/>
          <w:sz w:val="24"/>
          <w:szCs w:val="24"/>
        </w:rPr>
        <w:t xml:space="preserve"> </w:t>
      </w:r>
      <w:r w:rsidRPr="000755AF">
        <w:rPr>
          <w:rFonts w:ascii="Times New Roman" w:hAnsi="Times New Roman"/>
          <w:sz w:val="24"/>
          <w:szCs w:val="24"/>
          <w:lang w:val="en-US"/>
        </w:rPr>
        <w:t>Mortality assessments and post-mortem examination for fungal development were performed according to the methodology described in Section 3.3.2.</w:t>
      </w:r>
    </w:p>
    <w:p w:rsidR="005A7597" w:rsidRPr="005A7597" w:rsidRDefault="005A7597" w:rsidP="005A7597">
      <w:pPr>
        <w:spacing w:before="100" w:beforeAutospacing="1" w:after="100" w:afterAutospacing="1" w:line="240" w:lineRule="auto"/>
        <w:ind w:firstLine="0"/>
        <w:jc w:val="left"/>
        <w:outlineLvl w:val="2"/>
        <w:rPr>
          <w:rFonts w:ascii="Times New Roman" w:hAnsi="Times New Roman"/>
          <w:b/>
          <w:bCs/>
          <w:sz w:val="27"/>
          <w:szCs w:val="27"/>
          <w:lang w:val="en-US"/>
        </w:rPr>
      </w:pPr>
      <w:r w:rsidRPr="005A7597">
        <w:rPr>
          <w:rFonts w:ascii="Times New Roman" w:hAnsi="Times New Roman"/>
          <w:b/>
          <w:bCs/>
          <w:sz w:val="27"/>
          <w:szCs w:val="27"/>
          <w:lang w:val="en-US"/>
        </w:rPr>
        <w:t>3.4. Data analysis</w:t>
      </w:r>
    </w:p>
    <w:p w:rsidR="005A7597" w:rsidRPr="005A7597" w:rsidRDefault="005A7597" w:rsidP="005A7597">
      <w:pPr>
        <w:spacing w:before="100" w:beforeAutospacing="1" w:after="100" w:afterAutospacing="1"/>
        <w:rPr>
          <w:rFonts w:ascii="Times New Roman" w:hAnsi="Times New Roman"/>
          <w:sz w:val="24"/>
          <w:szCs w:val="24"/>
          <w:lang w:val="en-US"/>
        </w:rPr>
      </w:pPr>
      <w:r w:rsidRPr="005A7597">
        <w:rPr>
          <w:rFonts w:ascii="Times New Roman" w:hAnsi="Times New Roman"/>
          <w:sz w:val="24"/>
          <w:szCs w:val="24"/>
          <w:lang w:val="en-US"/>
        </w:rPr>
        <w:t>The data were analysed using either the non-parametric Kruskal–Wallis H test or analysis of variance (ANOVA), depending on the characteristics of the dataset. When significant differences among treatment means were detected, post hoc pairwise comparisons were performed using the Mann–Whitney U test following the Kruskal–Wallis test or Least Significant Difference (LSD) test following ANOVA.</w:t>
      </w:r>
      <w:r>
        <w:rPr>
          <w:rFonts w:ascii="Times New Roman" w:hAnsi="Times New Roman"/>
          <w:sz w:val="24"/>
          <w:szCs w:val="24"/>
        </w:rPr>
        <w:t xml:space="preserve"> </w:t>
      </w:r>
      <w:r w:rsidRPr="005A7597">
        <w:rPr>
          <w:rFonts w:ascii="Times New Roman" w:hAnsi="Times New Roman"/>
          <w:sz w:val="24"/>
          <w:szCs w:val="24"/>
          <w:lang w:val="en-US"/>
        </w:rPr>
        <w:t>Probit analysis was used to estimate the median lethal concentration (LC</w:t>
      </w:r>
      <w:r w:rsidRPr="005A7597">
        <w:rPr>
          <w:rFonts w:ascii="Cambria Math" w:hAnsi="Cambria Math" w:cs="Cambria Math"/>
          <w:sz w:val="24"/>
          <w:szCs w:val="24"/>
          <w:lang w:val="en-US"/>
        </w:rPr>
        <w:t>₅₀</w:t>
      </w:r>
      <w:r w:rsidRPr="005A7597">
        <w:rPr>
          <w:rFonts w:ascii="Times New Roman" w:hAnsi="Times New Roman"/>
          <w:sz w:val="24"/>
          <w:szCs w:val="24"/>
          <w:lang w:val="en-US"/>
        </w:rPr>
        <w:t>), the concentration causing 90% mortality (LC</w:t>
      </w:r>
      <w:r w:rsidRPr="005A7597">
        <w:rPr>
          <w:rFonts w:ascii="Cambria Math" w:hAnsi="Cambria Math" w:cs="Cambria Math"/>
          <w:sz w:val="24"/>
          <w:szCs w:val="24"/>
          <w:lang w:val="en-US"/>
        </w:rPr>
        <w:t>₉₀</w:t>
      </w:r>
      <w:r w:rsidRPr="005A7597">
        <w:rPr>
          <w:rFonts w:ascii="Times New Roman" w:hAnsi="Times New Roman"/>
          <w:sz w:val="24"/>
          <w:szCs w:val="24"/>
          <w:lang w:val="en-US"/>
        </w:rPr>
        <w:t>), the median lethal time (LT</w:t>
      </w:r>
      <w:r w:rsidRPr="005A7597">
        <w:rPr>
          <w:rFonts w:ascii="Cambria Math" w:hAnsi="Cambria Math" w:cs="Cambria Math"/>
          <w:sz w:val="24"/>
          <w:szCs w:val="24"/>
          <w:lang w:val="en-US"/>
        </w:rPr>
        <w:t>₅₀</w:t>
      </w:r>
      <w:r w:rsidRPr="005A7597">
        <w:rPr>
          <w:rFonts w:ascii="Times New Roman" w:hAnsi="Times New Roman"/>
          <w:sz w:val="24"/>
          <w:szCs w:val="24"/>
          <w:lang w:val="en-US"/>
        </w:rPr>
        <w:t>), and their corresponding 95% confidence intervals (CIs).</w:t>
      </w:r>
      <w:r>
        <w:rPr>
          <w:rFonts w:ascii="Times New Roman" w:hAnsi="Times New Roman"/>
          <w:sz w:val="24"/>
          <w:szCs w:val="24"/>
        </w:rPr>
        <w:t xml:space="preserve"> </w:t>
      </w:r>
      <w:r w:rsidRPr="005A7597">
        <w:rPr>
          <w:rFonts w:ascii="Times New Roman" w:hAnsi="Times New Roman"/>
          <w:sz w:val="24"/>
          <w:szCs w:val="24"/>
          <w:lang w:val="en-US"/>
        </w:rPr>
        <w:t xml:space="preserve">Statistical analyses were performed primarily using STATISTICA 7.0 (StatSoft, Inc., 2004) and Microsoft Excel. Differences were considered statistically significant at </w:t>
      </w:r>
      <w:r w:rsidRPr="005A7597">
        <w:rPr>
          <w:rFonts w:ascii="Times New Roman" w:hAnsi="Times New Roman"/>
          <w:i/>
          <w:iCs/>
          <w:sz w:val="24"/>
          <w:szCs w:val="24"/>
          <w:lang w:val="en-US"/>
        </w:rPr>
        <w:t>P</w:t>
      </w:r>
      <w:r w:rsidRPr="005A7597">
        <w:rPr>
          <w:rFonts w:ascii="Times New Roman" w:hAnsi="Times New Roman"/>
          <w:sz w:val="24"/>
          <w:szCs w:val="24"/>
          <w:lang w:val="en-US"/>
        </w:rPr>
        <w:t xml:space="preserve"> ≤ 0.05.</w:t>
      </w:r>
    </w:p>
    <w:p w:rsidR="005A7597" w:rsidRPr="005A7597" w:rsidRDefault="005A7597" w:rsidP="00BF6A3C">
      <w:pPr>
        <w:ind w:firstLine="0"/>
        <w:outlineLvl w:val="2"/>
        <w:rPr>
          <w:rFonts w:ascii="Times New Roman" w:hAnsi="Times New Roman"/>
          <w:b/>
          <w:bCs/>
          <w:sz w:val="27"/>
          <w:szCs w:val="27"/>
          <w:lang w:val="en-US"/>
        </w:rPr>
      </w:pPr>
      <w:r w:rsidRPr="005A7597">
        <w:rPr>
          <w:rFonts w:ascii="Times New Roman" w:hAnsi="Times New Roman"/>
          <w:b/>
          <w:bCs/>
          <w:sz w:val="27"/>
          <w:szCs w:val="27"/>
          <w:lang w:val="en-US"/>
        </w:rPr>
        <w:t>3.5. Study area and meteorological data</w:t>
      </w:r>
    </w:p>
    <w:p w:rsidR="00F41C11" w:rsidRDefault="00F41C11" w:rsidP="00BF6A3C">
      <w:pPr>
        <w:rPr>
          <w:rFonts w:ascii="Times New Roman" w:hAnsi="Times New Roman"/>
          <w:sz w:val="24"/>
          <w:szCs w:val="24"/>
        </w:rPr>
      </w:pPr>
    </w:p>
    <w:p w:rsidR="000755AF" w:rsidRDefault="005A7597" w:rsidP="00BF6A3C">
      <w:pPr>
        <w:rPr>
          <w:rFonts w:ascii="Times New Roman" w:hAnsi="Times New Roman"/>
          <w:sz w:val="24"/>
          <w:szCs w:val="24"/>
          <w:lang w:val="en-US"/>
        </w:rPr>
      </w:pPr>
      <w:r w:rsidRPr="005A7597">
        <w:rPr>
          <w:rFonts w:ascii="Times New Roman" w:hAnsi="Times New Roman"/>
          <w:sz w:val="24"/>
          <w:szCs w:val="24"/>
          <w:lang w:val="en-US"/>
        </w:rPr>
        <w:t xml:space="preserve">The soils in the vicinity of the Maize Research Institute (MRI), Knezha, are classified as typical </w:t>
      </w:r>
      <w:r w:rsidR="00864849">
        <w:rPr>
          <w:rFonts w:ascii="Times New Roman" w:hAnsi="Times New Roman"/>
          <w:sz w:val="24"/>
          <w:szCs w:val="24"/>
          <w:lang w:val="en-US"/>
        </w:rPr>
        <w:t>c</w:t>
      </w:r>
      <w:r w:rsidR="00864849" w:rsidRPr="005A7597">
        <w:rPr>
          <w:rFonts w:ascii="Times New Roman" w:hAnsi="Times New Roman"/>
          <w:sz w:val="24"/>
          <w:szCs w:val="24"/>
          <w:lang w:val="en-US"/>
        </w:rPr>
        <w:t>hernozem</w:t>
      </w:r>
      <w:r w:rsidRPr="005A7597">
        <w:rPr>
          <w:rFonts w:ascii="Times New Roman" w:hAnsi="Times New Roman"/>
          <w:sz w:val="24"/>
          <w:szCs w:val="24"/>
          <w:lang w:val="en-US"/>
        </w:rPr>
        <w:t>, while the climate is temperate continental. The meteorological data presented in this dissertation were provided by the Me</w:t>
      </w:r>
      <w:r w:rsidR="005B6B16">
        <w:rPr>
          <w:rFonts w:ascii="Times New Roman" w:hAnsi="Times New Roman"/>
          <w:sz w:val="24"/>
          <w:szCs w:val="24"/>
          <w:lang w:val="en-US"/>
        </w:rPr>
        <w:t>teorological Station in Knezha.</w:t>
      </w:r>
    </w:p>
    <w:p w:rsidR="005A7597" w:rsidRPr="0007611C" w:rsidRDefault="005A7597" w:rsidP="0007611C">
      <w:pPr>
        <w:ind w:firstLine="0"/>
        <w:jc w:val="center"/>
        <w:rPr>
          <w:rFonts w:ascii="Times New Roman" w:hAnsi="Times New Roman"/>
          <w:b/>
          <w:bCs/>
          <w:sz w:val="28"/>
          <w:szCs w:val="28"/>
          <w:lang w:val="en-US"/>
        </w:rPr>
      </w:pPr>
      <w:r w:rsidRPr="0007611C">
        <w:rPr>
          <w:rFonts w:ascii="Times New Roman" w:hAnsi="Times New Roman"/>
          <w:b/>
          <w:bCs/>
          <w:sz w:val="28"/>
          <w:szCs w:val="28"/>
          <w:lang w:val="en-US"/>
        </w:rPr>
        <w:lastRenderedPageBreak/>
        <w:t>4. RESULTS AND DISCUSSION</w:t>
      </w:r>
    </w:p>
    <w:p w:rsidR="00776864" w:rsidRPr="0007611C" w:rsidRDefault="00776864" w:rsidP="0007611C">
      <w:pPr>
        <w:ind w:left="360" w:firstLine="0"/>
        <w:jc w:val="center"/>
        <w:rPr>
          <w:rFonts w:ascii="Times New Roman" w:hAnsi="Times New Roman"/>
          <w:b/>
          <w:bCs/>
          <w:sz w:val="28"/>
          <w:szCs w:val="28"/>
          <w:lang w:val="en-US"/>
        </w:rPr>
      </w:pPr>
    </w:p>
    <w:p w:rsidR="005A7597" w:rsidRPr="00936C42" w:rsidRDefault="005A7597" w:rsidP="00BF6A3C">
      <w:pPr>
        <w:ind w:firstLine="0"/>
        <w:rPr>
          <w:rFonts w:ascii="Times New Roman" w:hAnsi="Times New Roman"/>
          <w:b/>
          <w:bCs/>
          <w:sz w:val="28"/>
          <w:szCs w:val="28"/>
          <w:lang w:val="en-US"/>
        </w:rPr>
      </w:pPr>
      <w:r w:rsidRPr="00936C42">
        <w:rPr>
          <w:rFonts w:ascii="Times New Roman" w:hAnsi="Times New Roman"/>
          <w:b/>
          <w:bCs/>
          <w:sz w:val="28"/>
          <w:szCs w:val="28"/>
          <w:lang w:val="en-US"/>
        </w:rPr>
        <w:t xml:space="preserve">4.1. </w:t>
      </w:r>
      <w:r w:rsidRPr="00936C42">
        <w:rPr>
          <w:rFonts w:ascii="Times New Roman" w:hAnsi="Times New Roman"/>
          <w:b/>
          <w:bCs/>
          <w:i/>
          <w:iCs/>
          <w:sz w:val="28"/>
          <w:szCs w:val="28"/>
          <w:lang w:val="en-US"/>
        </w:rPr>
        <w:t>Tanymecus dilaticollis</w:t>
      </w:r>
    </w:p>
    <w:p w:rsidR="005A7597" w:rsidRPr="00BF267B" w:rsidRDefault="005A7597" w:rsidP="00BF6A3C">
      <w:pPr>
        <w:ind w:firstLine="0"/>
        <w:rPr>
          <w:rFonts w:ascii="Times New Roman" w:hAnsi="Times New Roman"/>
          <w:b/>
          <w:bCs/>
          <w:sz w:val="24"/>
          <w:szCs w:val="24"/>
          <w:lang w:val="en-US"/>
        </w:rPr>
      </w:pPr>
      <w:r w:rsidRPr="00BF267B">
        <w:rPr>
          <w:rFonts w:ascii="Times New Roman" w:hAnsi="Times New Roman"/>
          <w:b/>
          <w:bCs/>
          <w:sz w:val="24"/>
          <w:szCs w:val="24"/>
          <w:lang w:val="en-US"/>
        </w:rPr>
        <w:t>4.1.1. Effect of lure composition</w:t>
      </w:r>
    </w:p>
    <w:p w:rsidR="005A7597" w:rsidRDefault="005A7597" w:rsidP="00E45273">
      <w:pPr>
        <w:ind w:firstLine="567"/>
        <w:rPr>
          <w:rFonts w:ascii="Times New Roman" w:hAnsi="Times New Roman"/>
          <w:bCs/>
          <w:sz w:val="24"/>
          <w:szCs w:val="24"/>
        </w:rPr>
      </w:pPr>
      <w:r w:rsidRPr="00E45273">
        <w:rPr>
          <w:rFonts w:ascii="Times New Roman" w:hAnsi="Times New Roman"/>
          <w:bCs/>
          <w:i/>
          <w:sz w:val="24"/>
          <w:szCs w:val="24"/>
          <w:lang w:val="en-US"/>
        </w:rPr>
        <w:t>Experiment 1</w:t>
      </w:r>
      <w:r w:rsidRPr="005A7597">
        <w:rPr>
          <w:rFonts w:ascii="Times New Roman" w:hAnsi="Times New Roman"/>
          <w:bCs/>
          <w:sz w:val="24"/>
          <w:szCs w:val="24"/>
          <w:lang w:val="en-US"/>
        </w:rPr>
        <w:t xml:space="preserve">. </w:t>
      </w:r>
      <w:r w:rsidR="00722B8B">
        <w:rPr>
          <w:rFonts w:ascii="Times New Roman" w:hAnsi="Times New Roman"/>
          <w:bCs/>
          <w:sz w:val="24"/>
          <w:szCs w:val="24"/>
          <w:lang w:val="en-US"/>
        </w:rPr>
        <w:t xml:space="preserve">In </w:t>
      </w:r>
      <w:r w:rsidRPr="005A7597">
        <w:rPr>
          <w:rFonts w:ascii="Times New Roman" w:hAnsi="Times New Roman"/>
          <w:bCs/>
          <w:sz w:val="24"/>
          <w:szCs w:val="24"/>
          <w:lang w:val="en-US"/>
        </w:rPr>
        <w:t xml:space="preserve">2009, </w:t>
      </w:r>
      <w:r w:rsidRPr="005A7597">
        <w:rPr>
          <w:rFonts w:ascii="Times New Roman" w:hAnsi="Times New Roman"/>
          <w:bCs/>
          <w:i/>
          <w:iCs/>
          <w:sz w:val="24"/>
          <w:szCs w:val="24"/>
          <w:lang w:val="en-US"/>
        </w:rPr>
        <w:t>Tanymecus dilaticollis</w:t>
      </w:r>
      <w:r w:rsidRPr="005A7597">
        <w:rPr>
          <w:rFonts w:ascii="Times New Roman" w:hAnsi="Times New Roman"/>
          <w:bCs/>
          <w:sz w:val="24"/>
          <w:szCs w:val="24"/>
          <w:lang w:val="en-US"/>
        </w:rPr>
        <w:t xml:space="preserve"> adults were captured in all trap treatments baited individually with </w:t>
      </w:r>
      <w:r w:rsidRPr="005A7597">
        <w:rPr>
          <w:rFonts w:ascii="Times New Roman" w:hAnsi="Times New Roman"/>
          <w:bCs/>
          <w:i/>
          <w:iCs/>
          <w:sz w:val="24"/>
          <w:szCs w:val="24"/>
          <w:lang w:val="en-US"/>
        </w:rPr>
        <w:t>(E)-</w:t>
      </w:r>
      <w:r w:rsidRPr="00E45273">
        <w:rPr>
          <w:rFonts w:ascii="Times New Roman" w:hAnsi="Times New Roman"/>
          <w:bCs/>
          <w:iCs/>
          <w:sz w:val="24"/>
          <w:szCs w:val="24"/>
          <w:lang w:val="en-US"/>
        </w:rPr>
        <w:t>2-hexen-1-ol</w:t>
      </w:r>
      <w:r w:rsidRPr="00E45273">
        <w:rPr>
          <w:rFonts w:ascii="Times New Roman" w:hAnsi="Times New Roman"/>
          <w:bCs/>
          <w:sz w:val="24"/>
          <w:szCs w:val="24"/>
          <w:lang w:val="en-US"/>
        </w:rPr>
        <w:t xml:space="preserve"> </w:t>
      </w:r>
      <w:r w:rsidRPr="005A7597">
        <w:rPr>
          <w:rFonts w:ascii="Times New Roman" w:hAnsi="Times New Roman"/>
          <w:bCs/>
          <w:sz w:val="24"/>
          <w:szCs w:val="24"/>
          <w:lang w:val="en-US"/>
        </w:rPr>
        <w:t xml:space="preserve">(E2-6OH), </w:t>
      </w:r>
      <w:r w:rsidRPr="005A7597">
        <w:rPr>
          <w:rFonts w:ascii="Times New Roman" w:hAnsi="Times New Roman"/>
          <w:bCs/>
          <w:i/>
          <w:iCs/>
          <w:sz w:val="24"/>
          <w:szCs w:val="24"/>
          <w:lang w:val="en-US"/>
        </w:rPr>
        <w:t>(Z)-</w:t>
      </w:r>
      <w:r w:rsidRPr="00E45273">
        <w:rPr>
          <w:rFonts w:ascii="Times New Roman" w:hAnsi="Times New Roman"/>
          <w:bCs/>
          <w:iCs/>
          <w:sz w:val="24"/>
          <w:szCs w:val="24"/>
          <w:lang w:val="en-US"/>
        </w:rPr>
        <w:t>3-hexen-1-ol</w:t>
      </w:r>
      <w:r w:rsidRPr="00E45273">
        <w:rPr>
          <w:rFonts w:ascii="Times New Roman" w:hAnsi="Times New Roman"/>
          <w:bCs/>
          <w:sz w:val="24"/>
          <w:szCs w:val="24"/>
          <w:lang w:val="en-US"/>
        </w:rPr>
        <w:t xml:space="preserve"> </w:t>
      </w:r>
      <w:r w:rsidRPr="005A7597">
        <w:rPr>
          <w:rFonts w:ascii="Times New Roman" w:hAnsi="Times New Roman"/>
          <w:bCs/>
          <w:sz w:val="24"/>
          <w:szCs w:val="24"/>
          <w:lang w:val="en-US"/>
        </w:rPr>
        <w:t>(Z3-6OH), or (±)-linalool, as well as in the unbaited control traps. Analysis of the results from the first field experiment showed that the mean catches in traps baited with each of the tested compounds were significantly higher than those recorded in the unbaited control traps (</w:t>
      </w:r>
      <w:r w:rsidRPr="00F41C11">
        <w:rPr>
          <w:rFonts w:ascii="Times New Roman" w:hAnsi="Times New Roman"/>
          <w:bCs/>
          <w:sz w:val="24"/>
          <w:szCs w:val="24"/>
          <w:lang w:val="en-US"/>
        </w:rPr>
        <w:t>Fig. 2</w:t>
      </w:r>
      <w:r w:rsidRPr="005A7597">
        <w:rPr>
          <w:rFonts w:ascii="Times New Roman" w:hAnsi="Times New Roman"/>
          <w:bCs/>
          <w:sz w:val="24"/>
          <w:szCs w:val="24"/>
          <w:lang w:val="en-US"/>
        </w:rPr>
        <w:t>). The highest mean catches were obtained in traps baited with E2-6OH and Z3-6OH.</w:t>
      </w:r>
    </w:p>
    <w:p w:rsidR="0007611C" w:rsidRPr="0007611C" w:rsidRDefault="0007611C" w:rsidP="00E45273">
      <w:pPr>
        <w:ind w:firstLine="567"/>
        <w:rPr>
          <w:rFonts w:ascii="Times New Roman" w:hAnsi="Times New Roman"/>
          <w:bCs/>
          <w:sz w:val="24"/>
          <w:szCs w:val="24"/>
        </w:rPr>
      </w:pPr>
    </w:p>
    <w:p w:rsidR="0029246B" w:rsidRPr="0029246B" w:rsidRDefault="00686510" w:rsidP="0029246B">
      <w:pPr>
        <w:ind w:firstLine="706"/>
        <w:rPr>
          <w:rFonts w:ascii="Times New Roman" w:hAnsi="Times New Roman"/>
          <w:sz w:val="24"/>
          <w:szCs w:val="24"/>
          <w:lang w:val="en-US" w:eastAsia="bg-BG"/>
        </w:rPr>
      </w:pPr>
      <w:r w:rsidRPr="00686510">
        <w:rPr>
          <w:noProof/>
          <w:lang w:val="en-US"/>
        </w:rPr>
        <w:drawing>
          <wp:inline distT="0" distB="0" distL="0" distR="0">
            <wp:extent cx="4876800" cy="2495550"/>
            <wp:effectExtent l="0" t="0" r="0" b="0"/>
            <wp:docPr id="4" name="Chart 1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BF267B" w:rsidRPr="00EC29CB" w:rsidRDefault="00936C42" w:rsidP="00A1396F">
      <w:pPr>
        <w:spacing w:before="100" w:beforeAutospacing="1" w:after="100" w:afterAutospacing="1"/>
        <w:ind w:firstLine="0"/>
        <w:jc w:val="left"/>
        <w:rPr>
          <w:sz w:val="24"/>
          <w:szCs w:val="24"/>
        </w:rPr>
      </w:pPr>
      <w:r w:rsidRPr="00EC29CB">
        <w:rPr>
          <w:rStyle w:val="af3"/>
          <w:sz w:val="24"/>
          <w:szCs w:val="24"/>
        </w:rPr>
        <w:t>Fig</w:t>
      </w:r>
      <w:r>
        <w:rPr>
          <w:rStyle w:val="af3"/>
          <w:sz w:val="24"/>
          <w:szCs w:val="24"/>
          <w:lang w:val="en-US"/>
        </w:rPr>
        <w:t>.</w:t>
      </w:r>
      <w:r w:rsidRPr="00EC29CB">
        <w:rPr>
          <w:rStyle w:val="af3"/>
          <w:sz w:val="24"/>
          <w:szCs w:val="24"/>
        </w:rPr>
        <w:t xml:space="preserve"> </w:t>
      </w:r>
      <w:r w:rsidR="00BF267B" w:rsidRPr="00EC29CB">
        <w:rPr>
          <w:rStyle w:val="af3"/>
          <w:sz w:val="24"/>
          <w:szCs w:val="24"/>
        </w:rPr>
        <w:t>2.</w:t>
      </w:r>
      <w:r w:rsidR="00BF267B" w:rsidRPr="00EC29CB">
        <w:rPr>
          <w:sz w:val="24"/>
          <w:szCs w:val="24"/>
        </w:rPr>
        <w:t xml:space="preserve"> Mean catches (± SE) of adult </w:t>
      </w:r>
      <w:r w:rsidR="00BF267B" w:rsidRPr="00EC29CB">
        <w:rPr>
          <w:rStyle w:val="ac"/>
          <w:sz w:val="24"/>
          <w:szCs w:val="24"/>
        </w:rPr>
        <w:t>Tanymecus dilaticollis</w:t>
      </w:r>
      <w:r w:rsidR="00BF267B" w:rsidRPr="00EC29CB">
        <w:rPr>
          <w:sz w:val="24"/>
          <w:szCs w:val="24"/>
        </w:rPr>
        <w:t xml:space="preserve"> in TAL sticky traps, 21 May–10 June 2009, Knezha, Bulgaria, three replicates. Bars marked with the same letter are not significantly different (</w:t>
      </w:r>
      <w:r w:rsidR="00BF267B" w:rsidRPr="00EC29CB">
        <w:rPr>
          <w:rStyle w:val="ac"/>
          <w:sz w:val="24"/>
          <w:szCs w:val="24"/>
        </w:rPr>
        <w:t>P</w:t>
      </w:r>
      <w:r w:rsidR="00BF267B" w:rsidRPr="00EC29CB">
        <w:rPr>
          <w:sz w:val="24"/>
          <w:szCs w:val="24"/>
        </w:rPr>
        <w:t xml:space="preserve"> ≤ 0.05, Kruskal–Wallis test followed by the Mann–Whitney </w:t>
      </w:r>
      <w:r w:rsidR="00BF267B" w:rsidRPr="00EC29CB">
        <w:rPr>
          <w:rStyle w:val="ac"/>
          <w:sz w:val="24"/>
          <w:szCs w:val="24"/>
        </w:rPr>
        <w:t>U</w:t>
      </w:r>
      <w:r w:rsidR="00BF267B" w:rsidRPr="00EC29CB">
        <w:rPr>
          <w:sz w:val="24"/>
          <w:szCs w:val="24"/>
        </w:rPr>
        <w:t xml:space="preserve"> test).</w:t>
      </w:r>
    </w:p>
    <w:p w:rsidR="00BF267B" w:rsidRPr="00BF267B" w:rsidRDefault="00BF267B" w:rsidP="00BF267B">
      <w:pPr>
        <w:rPr>
          <w:rFonts w:ascii="Times New Roman" w:hAnsi="Times New Roman"/>
          <w:sz w:val="24"/>
          <w:szCs w:val="24"/>
        </w:rPr>
      </w:pPr>
      <w:r w:rsidRPr="00E45273">
        <w:rPr>
          <w:rStyle w:val="af3"/>
          <w:rFonts w:ascii="Times New Roman" w:hAnsi="Times New Roman"/>
          <w:b w:val="0"/>
          <w:i/>
          <w:sz w:val="24"/>
          <w:szCs w:val="24"/>
        </w:rPr>
        <w:t>Experiment 2</w:t>
      </w:r>
      <w:r w:rsidRPr="00BF267B">
        <w:rPr>
          <w:rStyle w:val="af3"/>
          <w:rFonts w:ascii="Times New Roman" w:hAnsi="Times New Roman"/>
          <w:b w:val="0"/>
          <w:sz w:val="24"/>
          <w:szCs w:val="24"/>
        </w:rPr>
        <w:t>.</w:t>
      </w:r>
      <w:r w:rsidRPr="00BF267B">
        <w:rPr>
          <w:rFonts w:ascii="Times New Roman" w:hAnsi="Times New Roman"/>
          <w:sz w:val="24"/>
          <w:szCs w:val="24"/>
        </w:rPr>
        <w:t xml:space="preserve"> During the second field experiment conducted in 2009, adults of the target species were captured in all trap treatments regardless of whether the traps were baited or unbaited. The results demonstrated that adult grey maize weevils were most strongly attracted to lures baited individually with the two unsaturated alcohols, E2-6OH and Z3-6OH, or with their ternary blend containing (±)-linalool (E2-6OH : Z3-6OH : linalool = 1 : 1 : 1). Mean catches in </w:t>
      </w:r>
      <w:r w:rsidRPr="00BF267B">
        <w:rPr>
          <w:rFonts w:ascii="Times New Roman" w:hAnsi="Times New Roman"/>
          <w:sz w:val="24"/>
          <w:szCs w:val="24"/>
        </w:rPr>
        <w:lastRenderedPageBreak/>
        <w:t>traps baited with the remaining test compounds, namely (±)-linalool, caryophyllene, and nonanal (9Al), did not differ significantly from those recorded in the unbaited control traps (</w:t>
      </w:r>
      <w:r w:rsidRPr="00BF267B">
        <w:rPr>
          <w:rStyle w:val="ac"/>
          <w:rFonts w:ascii="Times New Roman" w:hAnsi="Times New Roman"/>
          <w:sz w:val="24"/>
          <w:szCs w:val="24"/>
        </w:rPr>
        <w:t>P</w:t>
      </w:r>
      <w:r w:rsidRPr="00BF267B">
        <w:rPr>
          <w:rFonts w:ascii="Times New Roman" w:hAnsi="Times New Roman"/>
          <w:sz w:val="24"/>
          <w:szCs w:val="24"/>
        </w:rPr>
        <w:t xml:space="preserve"> &gt; 0.05) (</w:t>
      </w:r>
      <w:r w:rsidRPr="00F41C11">
        <w:rPr>
          <w:rFonts w:ascii="Times New Roman" w:hAnsi="Times New Roman"/>
          <w:sz w:val="24"/>
          <w:szCs w:val="24"/>
        </w:rPr>
        <w:t>Fig. 3</w:t>
      </w:r>
      <w:r w:rsidRPr="00BF267B">
        <w:rPr>
          <w:rFonts w:ascii="Times New Roman" w:hAnsi="Times New Roman"/>
          <w:sz w:val="24"/>
          <w:szCs w:val="24"/>
        </w:rPr>
        <w:t>).</w:t>
      </w:r>
    </w:p>
    <w:p w:rsidR="00BF267B" w:rsidRDefault="00BF267B" w:rsidP="0029246B">
      <w:pPr>
        <w:ind w:firstLine="0"/>
        <w:jc w:val="center"/>
      </w:pPr>
    </w:p>
    <w:p w:rsidR="0029246B" w:rsidRPr="0029246B" w:rsidRDefault="00686510" w:rsidP="0029246B">
      <w:pPr>
        <w:ind w:firstLine="0"/>
        <w:jc w:val="center"/>
        <w:rPr>
          <w:rFonts w:ascii="Times New Roman" w:hAnsi="Times New Roman"/>
          <w:sz w:val="24"/>
          <w:szCs w:val="24"/>
          <w:lang w:val="ru-RU" w:eastAsia="bg-BG"/>
        </w:rPr>
      </w:pPr>
      <w:r w:rsidRPr="00686510">
        <w:rPr>
          <w:noProof/>
          <w:lang w:val="en-US"/>
        </w:rPr>
        <w:drawing>
          <wp:inline distT="0" distB="0" distL="0" distR="0">
            <wp:extent cx="5514975" cy="2924175"/>
            <wp:effectExtent l="0" t="0" r="0" b="0"/>
            <wp:docPr id="5" name="Chart 2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204C9E" w:rsidRPr="00EC29CB" w:rsidRDefault="00BF267B" w:rsidP="00204C9E">
      <w:pPr>
        <w:spacing w:before="100" w:beforeAutospacing="1" w:after="100" w:afterAutospacing="1" w:line="240" w:lineRule="auto"/>
        <w:ind w:firstLine="0"/>
        <w:jc w:val="left"/>
        <w:rPr>
          <w:rFonts w:cs="Calibri"/>
          <w:sz w:val="24"/>
          <w:szCs w:val="24"/>
          <w:lang w:val="en-US"/>
        </w:rPr>
      </w:pPr>
      <w:r w:rsidRPr="00EC29CB">
        <w:rPr>
          <w:rFonts w:cs="Calibri"/>
          <w:b/>
          <w:bCs/>
          <w:sz w:val="24"/>
          <w:szCs w:val="24"/>
          <w:lang w:val="en-US"/>
        </w:rPr>
        <w:t>Fig. 3</w:t>
      </w:r>
      <w:r w:rsidR="00204C9E" w:rsidRPr="00EC29CB">
        <w:rPr>
          <w:rFonts w:cs="Calibri"/>
          <w:b/>
          <w:bCs/>
          <w:sz w:val="24"/>
          <w:szCs w:val="24"/>
          <w:lang w:val="en-US"/>
        </w:rPr>
        <w:t>.</w:t>
      </w:r>
      <w:r w:rsidR="00204C9E" w:rsidRPr="00EC29CB">
        <w:rPr>
          <w:rFonts w:cs="Calibri"/>
          <w:sz w:val="24"/>
          <w:szCs w:val="24"/>
          <w:lang w:val="en-US"/>
        </w:rPr>
        <w:t xml:space="preserve"> Mean catches (± SE) of adult </w:t>
      </w:r>
      <w:r w:rsidR="00204C9E" w:rsidRPr="00EC29CB">
        <w:rPr>
          <w:rFonts w:cs="Calibri"/>
          <w:i/>
          <w:iCs/>
          <w:sz w:val="24"/>
          <w:szCs w:val="24"/>
          <w:lang w:val="en-US"/>
        </w:rPr>
        <w:t>Tanymecus dilaticollis</w:t>
      </w:r>
      <w:r w:rsidR="00204C9E" w:rsidRPr="00EC29CB">
        <w:rPr>
          <w:rFonts w:cs="Calibri"/>
          <w:sz w:val="24"/>
          <w:szCs w:val="24"/>
          <w:lang w:val="en-US"/>
        </w:rPr>
        <w:t xml:space="preserve"> in TAL sticky traps between 11 and 29 June 2009 using PE cotton dispensers, Knezha, Bulgaria (three replicates).</w:t>
      </w:r>
    </w:p>
    <w:p w:rsidR="00BF267B" w:rsidRPr="00BF267B" w:rsidRDefault="00FF3F58" w:rsidP="009F7011">
      <w:pPr>
        <w:ind w:firstLine="567"/>
        <w:rPr>
          <w:rFonts w:ascii="Times New Roman" w:hAnsi="Times New Roman"/>
          <w:sz w:val="24"/>
          <w:szCs w:val="24"/>
          <w:lang w:val="en-US"/>
        </w:rPr>
      </w:pPr>
      <w:r>
        <w:rPr>
          <w:rFonts w:ascii="Times New Roman" w:hAnsi="Times New Roman"/>
          <w:sz w:val="20"/>
          <w:szCs w:val="20"/>
          <w:lang w:val="en-US" w:eastAsia="bg-BG"/>
        </w:rPr>
        <w:t xml:space="preserve"> </w:t>
      </w:r>
      <w:r w:rsidR="00BF267B" w:rsidRPr="0032226F">
        <w:rPr>
          <w:rFonts w:ascii="Times New Roman" w:hAnsi="Times New Roman"/>
          <w:bCs/>
          <w:i/>
          <w:sz w:val="24"/>
          <w:szCs w:val="24"/>
          <w:lang w:val="en-US"/>
        </w:rPr>
        <w:t>Experiment 3</w:t>
      </w:r>
      <w:r w:rsidR="00BF267B" w:rsidRPr="00BF267B">
        <w:rPr>
          <w:rFonts w:ascii="Times New Roman" w:hAnsi="Times New Roman"/>
          <w:bCs/>
          <w:sz w:val="24"/>
          <w:szCs w:val="24"/>
          <w:lang w:val="en-US"/>
        </w:rPr>
        <w:t>.</w:t>
      </w:r>
      <w:r w:rsidR="00BF267B" w:rsidRPr="00BF267B">
        <w:rPr>
          <w:rFonts w:ascii="Times New Roman" w:hAnsi="Times New Roman"/>
          <w:sz w:val="24"/>
          <w:szCs w:val="24"/>
          <w:lang w:val="en-US"/>
        </w:rPr>
        <w:t xml:space="preserve"> The results of the 2011 field experiment showed that the highest number of adult </w:t>
      </w:r>
      <w:r w:rsidR="00BF267B" w:rsidRPr="00BF267B">
        <w:rPr>
          <w:rFonts w:ascii="Times New Roman" w:hAnsi="Times New Roman"/>
          <w:i/>
          <w:iCs/>
          <w:sz w:val="24"/>
          <w:szCs w:val="24"/>
          <w:lang w:val="en-US"/>
        </w:rPr>
        <w:t>Tanymecus dilaticollis</w:t>
      </w:r>
      <w:r w:rsidR="00BF267B" w:rsidRPr="00BF267B">
        <w:rPr>
          <w:rFonts w:ascii="Times New Roman" w:hAnsi="Times New Roman"/>
          <w:sz w:val="24"/>
          <w:szCs w:val="24"/>
          <w:lang w:val="en-US"/>
        </w:rPr>
        <w:t xml:space="preserve"> was captured in TAL sticky traps baited with the binary blend of </w:t>
      </w:r>
      <w:r w:rsidR="00BF267B" w:rsidRPr="00BF267B">
        <w:rPr>
          <w:rFonts w:ascii="Times New Roman" w:hAnsi="Times New Roman"/>
          <w:i/>
          <w:iCs/>
          <w:sz w:val="24"/>
          <w:szCs w:val="24"/>
          <w:lang w:val="en-US"/>
        </w:rPr>
        <w:t>(Z)-3-hexen-1-ol</w:t>
      </w:r>
      <w:r w:rsidR="00BF267B" w:rsidRPr="00BF267B">
        <w:rPr>
          <w:rFonts w:ascii="Times New Roman" w:hAnsi="Times New Roman"/>
          <w:sz w:val="24"/>
          <w:szCs w:val="24"/>
          <w:lang w:val="en-US"/>
        </w:rPr>
        <w:t xml:space="preserve"> (Z3-6OH) and </w:t>
      </w:r>
      <w:r w:rsidR="00BF267B" w:rsidRPr="00BF267B">
        <w:rPr>
          <w:rFonts w:ascii="Times New Roman" w:hAnsi="Times New Roman"/>
          <w:i/>
          <w:iCs/>
          <w:sz w:val="24"/>
          <w:szCs w:val="24"/>
          <w:lang w:val="en-US"/>
        </w:rPr>
        <w:t>(E)-2-hexen-1-ol</w:t>
      </w:r>
      <w:r w:rsidR="00BF267B" w:rsidRPr="00BF267B">
        <w:rPr>
          <w:rFonts w:ascii="Times New Roman" w:hAnsi="Times New Roman"/>
          <w:sz w:val="24"/>
          <w:szCs w:val="24"/>
          <w:lang w:val="en-US"/>
        </w:rPr>
        <w:t xml:space="preserve"> (E2-6OH) at a 1:1 ratio, followed by traps baited with Z3-6OH alone. However, the mean catches in these two treatments did not differ significantly (Fig. 4A). Traps baited with the binary lure captured more than three times as many adult weevils as the unbaited control traps.</w:t>
      </w:r>
    </w:p>
    <w:p w:rsidR="00BF267B" w:rsidRDefault="00BF267B" w:rsidP="009F7011">
      <w:pPr>
        <w:rPr>
          <w:rFonts w:ascii="Times New Roman" w:hAnsi="Times New Roman"/>
          <w:sz w:val="24"/>
          <w:szCs w:val="24"/>
          <w:lang w:val="en-US"/>
        </w:rPr>
      </w:pPr>
      <w:r w:rsidRPr="00BF267B">
        <w:rPr>
          <w:rFonts w:ascii="Times New Roman" w:hAnsi="Times New Roman"/>
          <w:sz w:val="24"/>
          <w:szCs w:val="24"/>
          <w:lang w:val="en-US"/>
        </w:rPr>
        <w:t xml:space="preserve">In addition to the grey maize weevil, adults of the black beet weevil, </w:t>
      </w:r>
      <w:r w:rsidRPr="00BF267B">
        <w:rPr>
          <w:rFonts w:ascii="Times New Roman" w:hAnsi="Times New Roman"/>
          <w:i/>
          <w:iCs/>
          <w:sz w:val="24"/>
          <w:szCs w:val="24"/>
          <w:lang w:val="en-US"/>
        </w:rPr>
        <w:t>Psallidium maxillosum</w:t>
      </w:r>
      <w:r w:rsidRPr="00BF267B">
        <w:rPr>
          <w:rFonts w:ascii="Times New Roman" w:hAnsi="Times New Roman"/>
          <w:sz w:val="24"/>
          <w:szCs w:val="24"/>
          <w:lang w:val="en-US"/>
        </w:rPr>
        <w:t xml:space="preserve"> Dejean, 1821, were also captured during this experiment. As observed for </w:t>
      </w:r>
      <w:r w:rsidRPr="00BF267B">
        <w:rPr>
          <w:rFonts w:ascii="Times New Roman" w:hAnsi="Times New Roman"/>
          <w:i/>
          <w:iCs/>
          <w:sz w:val="24"/>
          <w:szCs w:val="24"/>
          <w:lang w:val="en-US"/>
        </w:rPr>
        <w:t>T. dilaticollis</w:t>
      </w:r>
      <w:r w:rsidRPr="00BF267B">
        <w:rPr>
          <w:rFonts w:ascii="Times New Roman" w:hAnsi="Times New Roman"/>
          <w:sz w:val="24"/>
          <w:szCs w:val="24"/>
          <w:lang w:val="en-US"/>
        </w:rPr>
        <w:t xml:space="preserve">, the mean catches of </w:t>
      </w:r>
      <w:r w:rsidRPr="00BF267B">
        <w:rPr>
          <w:rFonts w:ascii="Times New Roman" w:hAnsi="Times New Roman"/>
          <w:i/>
          <w:iCs/>
          <w:sz w:val="24"/>
          <w:szCs w:val="24"/>
          <w:lang w:val="en-US"/>
        </w:rPr>
        <w:t>P. maxillosum</w:t>
      </w:r>
      <w:r w:rsidRPr="00BF267B">
        <w:rPr>
          <w:rFonts w:ascii="Times New Roman" w:hAnsi="Times New Roman"/>
          <w:sz w:val="24"/>
          <w:szCs w:val="24"/>
          <w:lang w:val="en-US"/>
        </w:rPr>
        <w:t xml:space="preserve"> in traps baited with the Z3-6OH + E2-6OH (1:1) blend were significantly higher than those recorded in the unbaited control traps (</w:t>
      </w:r>
      <w:r w:rsidRPr="00F41C11">
        <w:rPr>
          <w:rFonts w:ascii="Times New Roman" w:hAnsi="Times New Roman"/>
          <w:sz w:val="24"/>
          <w:szCs w:val="24"/>
          <w:lang w:val="en-US"/>
        </w:rPr>
        <w:t>Fig. 4B</w:t>
      </w:r>
      <w:r w:rsidRPr="00BF267B">
        <w:rPr>
          <w:rFonts w:ascii="Times New Roman" w:hAnsi="Times New Roman"/>
          <w:sz w:val="24"/>
          <w:szCs w:val="24"/>
          <w:lang w:val="en-US"/>
        </w:rPr>
        <w:t>).</w:t>
      </w:r>
    </w:p>
    <w:p w:rsidR="00BF267B" w:rsidRDefault="00686510" w:rsidP="00C51345">
      <w:pPr>
        <w:tabs>
          <w:tab w:val="right" w:pos="9406"/>
        </w:tabs>
        <w:spacing w:before="100" w:beforeAutospacing="1" w:after="100" w:afterAutospacing="1"/>
        <w:rPr>
          <w:rFonts w:ascii="Times New Roman" w:hAnsi="Times New Roman"/>
          <w:sz w:val="24"/>
          <w:szCs w:val="24"/>
          <w:lang w:val="en-US"/>
        </w:rPr>
      </w:pPr>
      <w:r w:rsidRPr="00686510">
        <w:rPr>
          <w:rFonts w:ascii="Times New Roman" w:hAnsi="Times New Roman"/>
          <w:noProof/>
          <w:sz w:val="24"/>
          <w:szCs w:val="24"/>
          <w:lang w:val="en-US"/>
        </w:rPr>
        <w:lastRenderedPageBreak/>
        <w:drawing>
          <wp:inline distT="0" distB="0" distL="0" distR="0">
            <wp:extent cx="2466975" cy="3057525"/>
            <wp:effectExtent l="0" t="0" r="0" b="0"/>
            <wp:docPr id="6" name="Картина 19" descr="C:\Users\user\Downloads\ChatGPT Image 23.07.2026 г., 08_30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9" descr="C:\Users\user\Downloads\ChatGPT Image 23.07.2026 г., 08_30_24.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66975" cy="3057525"/>
                    </a:xfrm>
                    <a:prstGeom prst="rect">
                      <a:avLst/>
                    </a:prstGeom>
                    <a:noFill/>
                    <a:ln>
                      <a:noFill/>
                    </a:ln>
                  </pic:spPr>
                </pic:pic>
              </a:graphicData>
            </a:graphic>
          </wp:inline>
        </w:drawing>
      </w:r>
      <w:r w:rsidRPr="00686510">
        <w:rPr>
          <w:rFonts w:ascii="Times New Roman" w:hAnsi="Times New Roman"/>
          <w:noProof/>
          <w:sz w:val="24"/>
          <w:szCs w:val="24"/>
          <w:lang w:val="en-US"/>
        </w:rPr>
        <w:drawing>
          <wp:inline distT="0" distB="0" distL="0" distR="0">
            <wp:extent cx="2628900" cy="3062127"/>
            <wp:effectExtent l="0" t="0" r="0" b="0"/>
            <wp:docPr id="7" name="Картина 20" descr="C:\Users\user\Downloads\ChatGPT Image 23.07.2026 г., 08_33_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0" descr="C:\Users\user\Downloads\ChatGPT Image 23.07.2026 г., 08_33_34.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32922" cy="3066812"/>
                    </a:xfrm>
                    <a:prstGeom prst="rect">
                      <a:avLst/>
                    </a:prstGeom>
                    <a:noFill/>
                    <a:ln>
                      <a:noFill/>
                    </a:ln>
                  </pic:spPr>
                </pic:pic>
              </a:graphicData>
            </a:graphic>
          </wp:inline>
        </w:drawing>
      </w:r>
      <w:r w:rsidR="00C51345">
        <w:rPr>
          <w:rFonts w:ascii="Times New Roman" w:hAnsi="Times New Roman"/>
          <w:sz w:val="24"/>
          <w:szCs w:val="24"/>
          <w:lang w:val="en-US"/>
        </w:rPr>
        <w:tab/>
      </w:r>
    </w:p>
    <w:p w:rsidR="00BF267B" w:rsidRPr="00EC29CB" w:rsidRDefault="00186417" w:rsidP="00F16D0E">
      <w:pPr>
        <w:spacing w:before="100" w:beforeAutospacing="1" w:after="100" w:afterAutospacing="1"/>
        <w:ind w:firstLine="0"/>
        <w:rPr>
          <w:rFonts w:cs="Calibri"/>
          <w:sz w:val="24"/>
          <w:szCs w:val="24"/>
          <w:lang w:val="en-US"/>
        </w:rPr>
      </w:pPr>
      <w:r w:rsidRPr="00EC29CB">
        <w:rPr>
          <w:rFonts w:cs="Calibri"/>
          <w:b/>
          <w:bCs/>
          <w:sz w:val="24"/>
          <w:szCs w:val="24"/>
          <w:lang w:val="en-US"/>
        </w:rPr>
        <w:t>Fig</w:t>
      </w:r>
      <w:r>
        <w:rPr>
          <w:rFonts w:cs="Calibri"/>
          <w:b/>
          <w:bCs/>
          <w:sz w:val="24"/>
          <w:szCs w:val="24"/>
        </w:rPr>
        <w:t>.</w:t>
      </w:r>
      <w:r w:rsidRPr="00EC29CB">
        <w:rPr>
          <w:rFonts w:cs="Calibri"/>
          <w:b/>
          <w:bCs/>
          <w:sz w:val="24"/>
          <w:szCs w:val="24"/>
          <w:lang w:val="en-US"/>
        </w:rPr>
        <w:t xml:space="preserve"> </w:t>
      </w:r>
      <w:r w:rsidR="00BF267B" w:rsidRPr="00EC29CB">
        <w:rPr>
          <w:rFonts w:cs="Calibri"/>
          <w:b/>
          <w:bCs/>
          <w:sz w:val="24"/>
          <w:szCs w:val="24"/>
          <w:lang w:val="en-US"/>
        </w:rPr>
        <w:t>4.</w:t>
      </w:r>
      <w:r w:rsidR="00BF267B" w:rsidRPr="00EC29CB">
        <w:rPr>
          <w:rFonts w:cs="Calibri"/>
          <w:sz w:val="24"/>
          <w:szCs w:val="24"/>
          <w:lang w:val="en-US"/>
        </w:rPr>
        <w:t xml:space="preserve"> Mean catches (± SE) of </w:t>
      </w:r>
      <w:r w:rsidR="00BF267B" w:rsidRPr="00EC29CB">
        <w:rPr>
          <w:rFonts w:cs="Calibri"/>
          <w:i/>
          <w:iCs/>
          <w:sz w:val="24"/>
          <w:szCs w:val="24"/>
          <w:lang w:val="en-US"/>
        </w:rPr>
        <w:t>Tanymecus dilaticollis</w:t>
      </w:r>
      <w:r w:rsidR="00BF267B" w:rsidRPr="00EC29CB">
        <w:rPr>
          <w:rFonts w:cs="Calibri"/>
          <w:sz w:val="24"/>
          <w:szCs w:val="24"/>
          <w:lang w:val="en-US"/>
        </w:rPr>
        <w:t xml:space="preserve"> (A) and </w:t>
      </w:r>
      <w:r w:rsidR="00BF267B" w:rsidRPr="00EC29CB">
        <w:rPr>
          <w:rFonts w:cs="Calibri"/>
          <w:i/>
          <w:iCs/>
          <w:sz w:val="24"/>
          <w:szCs w:val="24"/>
          <w:lang w:val="en-US"/>
        </w:rPr>
        <w:t>Psallidium maxillosum</w:t>
      </w:r>
      <w:r w:rsidR="00BF267B" w:rsidRPr="00EC29CB">
        <w:rPr>
          <w:rFonts w:cs="Calibri"/>
          <w:sz w:val="24"/>
          <w:szCs w:val="24"/>
          <w:lang w:val="en-US"/>
        </w:rPr>
        <w:t xml:space="preserve"> (B) in TAL sticky traps baited with different lures loaded into Just Plastics </w:t>
      </w:r>
      <w:r w:rsidR="008C1E18" w:rsidRPr="00EC29CB">
        <w:rPr>
          <w:rFonts w:cs="Calibri"/>
          <w:sz w:val="24"/>
          <w:szCs w:val="24"/>
          <w:lang w:val="en-US"/>
        </w:rPr>
        <w:t xml:space="preserve">PE </w:t>
      </w:r>
      <w:r w:rsidR="00BF267B" w:rsidRPr="00EC29CB">
        <w:rPr>
          <w:rFonts w:cs="Calibri"/>
          <w:sz w:val="24"/>
          <w:szCs w:val="24"/>
          <w:lang w:val="en-US"/>
        </w:rPr>
        <w:t xml:space="preserve">2.5-ml </w:t>
      </w:r>
      <w:r w:rsidR="008429C4">
        <w:rPr>
          <w:rFonts w:cs="Calibri"/>
          <w:sz w:val="24"/>
          <w:szCs w:val="24"/>
          <w:lang w:val="en-US"/>
        </w:rPr>
        <w:t>containers</w:t>
      </w:r>
      <w:r w:rsidR="00BF267B" w:rsidRPr="00EC29CB">
        <w:rPr>
          <w:rFonts w:cs="Calibri"/>
          <w:sz w:val="24"/>
          <w:szCs w:val="24"/>
          <w:lang w:val="en-US"/>
        </w:rPr>
        <w:t xml:space="preserve"> and in unbaited control traps, Knezha, Bulgaria, 14 April–19 May 2011, four replicates. For statistical annotations, see </w:t>
      </w:r>
      <w:r w:rsidR="00915F3F" w:rsidRPr="00EC29CB">
        <w:rPr>
          <w:rFonts w:cs="Calibri"/>
          <w:sz w:val="24"/>
          <w:szCs w:val="24"/>
          <w:lang w:val="en-US"/>
        </w:rPr>
        <w:t>Fig</w:t>
      </w:r>
      <w:r w:rsidR="00915F3F">
        <w:rPr>
          <w:rFonts w:cs="Calibri"/>
          <w:sz w:val="24"/>
          <w:szCs w:val="24"/>
        </w:rPr>
        <w:t xml:space="preserve">. </w:t>
      </w:r>
      <w:r w:rsidR="00BF267B" w:rsidRPr="00EC29CB">
        <w:rPr>
          <w:rFonts w:cs="Calibri"/>
          <w:sz w:val="24"/>
          <w:szCs w:val="24"/>
          <w:lang w:val="en-US"/>
        </w:rPr>
        <w:t>2.</w:t>
      </w:r>
    </w:p>
    <w:p w:rsidR="00BF267B" w:rsidRPr="00BF267B" w:rsidRDefault="00BF267B" w:rsidP="009F7011">
      <w:pPr>
        <w:ind w:firstLine="567"/>
        <w:rPr>
          <w:rFonts w:ascii="Times New Roman" w:hAnsi="Times New Roman"/>
          <w:sz w:val="24"/>
          <w:szCs w:val="24"/>
          <w:lang w:val="en-US"/>
        </w:rPr>
      </w:pPr>
      <w:r w:rsidRPr="00776864">
        <w:rPr>
          <w:rFonts w:ascii="Times New Roman" w:hAnsi="Times New Roman"/>
          <w:bCs/>
          <w:i/>
          <w:sz w:val="24"/>
          <w:szCs w:val="24"/>
          <w:lang w:val="en-US"/>
        </w:rPr>
        <w:t>Experiment 4</w:t>
      </w:r>
      <w:r w:rsidRPr="00BF267B">
        <w:rPr>
          <w:rFonts w:ascii="Times New Roman" w:hAnsi="Times New Roman"/>
          <w:bCs/>
          <w:sz w:val="24"/>
          <w:szCs w:val="24"/>
          <w:lang w:val="en-US"/>
        </w:rPr>
        <w:t>.</w:t>
      </w:r>
      <w:r w:rsidRPr="00BF267B">
        <w:rPr>
          <w:rFonts w:ascii="Times New Roman" w:hAnsi="Times New Roman"/>
          <w:sz w:val="24"/>
          <w:szCs w:val="24"/>
          <w:lang w:val="en-US"/>
        </w:rPr>
        <w:t xml:space="preserve"> Comparison of catches of the grey maize weevil in traps baited with </w:t>
      </w:r>
      <w:r w:rsidRPr="00BF267B">
        <w:rPr>
          <w:rFonts w:ascii="Times New Roman" w:hAnsi="Times New Roman"/>
          <w:i/>
          <w:iCs/>
          <w:sz w:val="24"/>
          <w:szCs w:val="24"/>
          <w:lang w:val="en-US"/>
        </w:rPr>
        <w:t>(Z)-3-hexenyl butyrate</w:t>
      </w:r>
      <w:r w:rsidRPr="00BF267B">
        <w:rPr>
          <w:rFonts w:ascii="Times New Roman" w:hAnsi="Times New Roman"/>
          <w:sz w:val="24"/>
          <w:szCs w:val="24"/>
          <w:lang w:val="en-US"/>
        </w:rPr>
        <w:t xml:space="preserve"> (Z3-6Bu) and in unbaited control traps showed that catches in the control traps were significantly higher than those in baited traps, indicating that the tested compound exerted a significant inhibitory (repellent) effect on </w:t>
      </w:r>
      <w:r w:rsidRPr="00BF267B">
        <w:rPr>
          <w:rFonts w:ascii="Times New Roman" w:hAnsi="Times New Roman"/>
          <w:i/>
          <w:iCs/>
          <w:sz w:val="24"/>
          <w:szCs w:val="24"/>
          <w:lang w:val="en-US"/>
        </w:rPr>
        <w:t>Tanymecus dilaticollis</w:t>
      </w:r>
      <w:r w:rsidRPr="00BF267B">
        <w:rPr>
          <w:rFonts w:ascii="Times New Roman" w:hAnsi="Times New Roman"/>
          <w:sz w:val="24"/>
          <w:szCs w:val="24"/>
          <w:lang w:val="en-US"/>
        </w:rPr>
        <w:t xml:space="preserve"> (</w:t>
      </w:r>
      <w:r w:rsidRPr="00BF267B">
        <w:rPr>
          <w:rFonts w:ascii="Times New Roman" w:hAnsi="Times New Roman"/>
          <w:i/>
          <w:iCs/>
          <w:sz w:val="24"/>
          <w:szCs w:val="24"/>
          <w:lang w:val="en-US"/>
        </w:rPr>
        <w:t>t</w:t>
      </w:r>
      <w:r w:rsidRPr="00BF267B">
        <w:rPr>
          <w:rFonts w:ascii="Times New Roman" w:hAnsi="Times New Roman"/>
          <w:sz w:val="24"/>
          <w:szCs w:val="24"/>
          <w:lang w:val="en-US"/>
        </w:rPr>
        <w:t>-test).</w:t>
      </w:r>
    </w:p>
    <w:p w:rsidR="00BF267B" w:rsidRPr="00BF267B" w:rsidRDefault="00BF267B" w:rsidP="009F7011">
      <w:pPr>
        <w:ind w:firstLine="567"/>
        <w:rPr>
          <w:rFonts w:ascii="Times New Roman" w:hAnsi="Times New Roman"/>
          <w:sz w:val="24"/>
          <w:szCs w:val="24"/>
          <w:lang w:val="en-US"/>
        </w:rPr>
      </w:pPr>
      <w:r w:rsidRPr="00776864">
        <w:rPr>
          <w:rFonts w:ascii="Times New Roman" w:hAnsi="Times New Roman"/>
          <w:bCs/>
          <w:i/>
          <w:sz w:val="24"/>
          <w:szCs w:val="24"/>
          <w:lang w:val="en-US"/>
        </w:rPr>
        <w:t>Experiment 5</w:t>
      </w:r>
      <w:r w:rsidRPr="00BF267B">
        <w:rPr>
          <w:rFonts w:ascii="Times New Roman" w:hAnsi="Times New Roman"/>
          <w:bCs/>
          <w:sz w:val="24"/>
          <w:szCs w:val="24"/>
          <w:lang w:val="en-US"/>
        </w:rPr>
        <w:t>.</w:t>
      </w:r>
      <w:r w:rsidRPr="00BF267B">
        <w:rPr>
          <w:rFonts w:ascii="Times New Roman" w:hAnsi="Times New Roman"/>
          <w:sz w:val="24"/>
          <w:szCs w:val="24"/>
          <w:lang w:val="en-US"/>
        </w:rPr>
        <w:t xml:space="preserve"> The attractiveness of lures containing different ratios of Z3-6OH and E2-6OH was evaluated: (1) 100:10, (2) 100:50, (3) 100:100, (4) 50:100, (5) 10:100, and (6) 200:200. The highest mean catches of </w:t>
      </w:r>
      <w:r w:rsidRPr="00BF267B">
        <w:rPr>
          <w:rFonts w:ascii="Times New Roman" w:hAnsi="Times New Roman"/>
          <w:i/>
          <w:iCs/>
          <w:sz w:val="24"/>
          <w:szCs w:val="24"/>
          <w:lang w:val="en-US"/>
        </w:rPr>
        <w:t>T. dilaticollis</w:t>
      </w:r>
      <w:r w:rsidRPr="00BF267B">
        <w:rPr>
          <w:rFonts w:ascii="Times New Roman" w:hAnsi="Times New Roman"/>
          <w:sz w:val="24"/>
          <w:szCs w:val="24"/>
          <w:lang w:val="en-US"/>
        </w:rPr>
        <w:t xml:space="preserve"> were recorded in traps baited with the 1:1 blends (100:100 and 200:200). However, no statistically significant differences were detected among the catches obtained with the different blend ratios (Kruskal–Wallis χ² = 5.895, </w:t>
      </w:r>
      <w:r w:rsidRPr="00BF267B">
        <w:rPr>
          <w:rFonts w:ascii="Times New Roman" w:hAnsi="Times New Roman"/>
          <w:i/>
          <w:iCs/>
          <w:sz w:val="24"/>
          <w:szCs w:val="24"/>
          <w:lang w:val="en-US"/>
        </w:rPr>
        <w:t>P</w:t>
      </w:r>
      <w:r w:rsidRPr="00BF267B">
        <w:rPr>
          <w:rFonts w:ascii="Times New Roman" w:hAnsi="Times New Roman"/>
          <w:sz w:val="24"/>
          <w:szCs w:val="24"/>
          <w:lang w:val="en-US"/>
        </w:rPr>
        <w:t xml:space="preserve"> = 0.435).</w:t>
      </w:r>
    </w:p>
    <w:p w:rsidR="00BF267B" w:rsidRPr="00BF267B" w:rsidRDefault="00BF267B" w:rsidP="00263890">
      <w:pPr>
        <w:spacing w:before="100" w:beforeAutospacing="1" w:after="100" w:afterAutospacing="1"/>
        <w:ind w:firstLine="0"/>
        <w:rPr>
          <w:rFonts w:ascii="Times New Roman" w:hAnsi="Times New Roman"/>
          <w:b/>
          <w:bCs/>
          <w:sz w:val="24"/>
          <w:szCs w:val="24"/>
          <w:lang w:val="en-US"/>
        </w:rPr>
      </w:pPr>
      <w:r w:rsidRPr="00BF267B">
        <w:rPr>
          <w:rFonts w:ascii="Times New Roman" w:hAnsi="Times New Roman"/>
          <w:b/>
          <w:bCs/>
          <w:sz w:val="24"/>
          <w:szCs w:val="24"/>
          <w:lang w:val="en-US"/>
        </w:rPr>
        <w:t>4.1.2. Effect of dispenser type on lure activity</w:t>
      </w:r>
    </w:p>
    <w:p w:rsidR="00BF267B" w:rsidRPr="00BF267B" w:rsidRDefault="00BF267B" w:rsidP="00BF267B">
      <w:pPr>
        <w:spacing w:before="100" w:beforeAutospacing="1" w:after="100" w:afterAutospacing="1"/>
        <w:rPr>
          <w:rFonts w:ascii="Times New Roman" w:hAnsi="Times New Roman"/>
          <w:sz w:val="24"/>
          <w:szCs w:val="24"/>
          <w:lang w:val="en-US"/>
        </w:rPr>
      </w:pPr>
      <w:r w:rsidRPr="00E45273">
        <w:rPr>
          <w:rFonts w:ascii="Times New Roman" w:hAnsi="Times New Roman"/>
          <w:bCs/>
          <w:i/>
          <w:sz w:val="24"/>
          <w:szCs w:val="24"/>
          <w:lang w:val="en-US"/>
        </w:rPr>
        <w:t>Experiment 6</w:t>
      </w:r>
      <w:r w:rsidRPr="00BF267B">
        <w:rPr>
          <w:rFonts w:ascii="Times New Roman" w:hAnsi="Times New Roman"/>
          <w:bCs/>
          <w:sz w:val="24"/>
          <w:szCs w:val="24"/>
          <w:lang w:val="en-US"/>
        </w:rPr>
        <w:t>.</w:t>
      </w:r>
      <w:r w:rsidRPr="00BF267B">
        <w:rPr>
          <w:rFonts w:ascii="Times New Roman" w:hAnsi="Times New Roman"/>
          <w:sz w:val="24"/>
          <w:szCs w:val="24"/>
          <w:lang w:val="en-US"/>
        </w:rPr>
        <w:t xml:space="preserve"> The results of this experiment, in which the same binary lure (Z3-6OH + E2-6OH, 1:1) was used with three different dispenser types, showed that the mean catches of </w:t>
      </w:r>
      <w:r w:rsidRPr="00BF267B">
        <w:rPr>
          <w:rFonts w:ascii="Times New Roman" w:hAnsi="Times New Roman"/>
          <w:sz w:val="24"/>
          <w:szCs w:val="24"/>
          <w:lang w:val="en-US"/>
        </w:rPr>
        <w:lastRenderedPageBreak/>
        <w:t xml:space="preserve">adult </w:t>
      </w:r>
      <w:r w:rsidRPr="00BF267B">
        <w:rPr>
          <w:rFonts w:ascii="Times New Roman" w:hAnsi="Times New Roman"/>
          <w:i/>
          <w:iCs/>
          <w:sz w:val="24"/>
          <w:szCs w:val="24"/>
          <w:lang w:val="en-US"/>
        </w:rPr>
        <w:t>T. dilaticollis</w:t>
      </w:r>
      <w:r w:rsidRPr="00BF267B">
        <w:rPr>
          <w:rFonts w:ascii="Times New Roman" w:hAnsi="Times New Roman"/>
          <w:sz w:val="24"/>
          <w:szCs w:val="24"/>
          <w:lang w:val="en-US"/>
        </w:rPr>
        <w:t xml:space="preserve"> were significantly higher in traps equipped with Just Plastics </w:t>
      </w:r>
      <w:r w:rsidR="008C1E18" w:rsidRPr="00BF267B">
        <w:rPr>
          <w:rFonts w:ascii="Times New Roman" w:hAnsi="Times New Roman"/>
          <w:sz w:val="24"/>
          <w:szCs w:val="24"/>
          <w:lang w:val="en-US"/>
        </w:rPr>
        <w:t xml:space="preserve">PE </w:t>
      </w:r>
      <w:r w:rsidRPr="00BF267B">
        <w:rPr>
          <w:rFonts w:ascii="Times New Roman" w:hAnsi="Times New Roman"/>
          <w:sz w:val="24"/>
          <w:szCs w:val="24"/>
          <w:lang w:val="en-US"/>
        </w:rPr>
        <w:t xml:space="preserve">2.5-ml </w:t>
      </w:r>
      <w:r w:rsidR="008429C4">
        <w:rPr>
          <w:rFonts w:ascii="Times New Roman" w:hAnsi="Times New Roman"/>
          <w:sz w:val="24"/>
          <w:szCs w:val="24"/>
          <w:lang w:val="en-US"/>
        </w:rPr>
        <w:t>containers</w:t>
      </w:r>
      <w:r w:rsidRPr="00BF267B">
        <w:rPr>
          <w:rFonts w:ascii="Times New Roman" w:hAnsi="Times New Roman"/>
          <w:sz w:val="24"/>
          <w:szCs w:val="24"/>
          <w:lang w:val="en-US"/>
        </w:rPr>
        <w:t xml:space="preserve"> than in traps using the other two dispenser types, namely PE cotton dispensers and Kartell 1-ml PE </w:t>
      </w:r>
      <w:r w:rsidR="007467AA">
        <w:rPr>
          <w:rFonts w:ascii="Times New Roman" w:hAnsi="Times New Roman"/>
          <w:sz w:val="24"/>
          <w:szCs w:val="24"/>
          <w:lang w:val="en-US"/>
        </w:rPr>
        <w:t>vial</w:t>
      </w:r>
      <w:r w:rsidRPr="00BF267B">
        <w:rPr>
          <w:rFonts w:ascii="Times New Roman" w:hAnsi="Times New Roman"/>
          <w:sz w:val="24"/>
          <w:szCs w:val="24"/>
          <w:lang w:val="en-US"/>
        </w:rPr>
        <w:t>s. No significant difference was found between the mean catches obtained with PE cotton dispensers and Kartell 1-ml PE dispensers.</w:t>
      </w:r>
    </w:p>
    <w:p w:rsidR="00BF267B" w:rsidRPr="00BF267B" w:rsidRDefault="00BF267B" w:rsidP="00263890">
      <w:pPr>
        <w:spacing w:before="100" w:beforeAutospacing="1" w:after="100" w:afterAutospacing="1"/>
        <w:ind w:firstLine="0"/>
        <w:rPr>
          <w:rFonts w:ascii="Times New Roman" w:hAnsi="Times New Roman"/>
          <w:b/>
          <w:bCs/>
          <w:sz w:val="24"/>
          <w:szCs w:val="24"/>
          <w:lang w:val="en-US"/>
        </w:rPr>
      </w:pPr>
      <w:r w:rsidRPr="00BF267B">
        <w:rPr>
          <w:rFonts w:ascii="Times New Roman" w:hAnsi="Times New Roman"/>
          <w:b/>
          <w:bCs/>
          <w:sz w:val="24"/>
          <w:szCs w:val="24"/>
          <w:lang w:val="en-US"/>
        </w:rPr>
        <w:t>4.1.3. Effect of trap design</w:t>
      </w:r>
    </w:p>
    <w:p w:rsidR="00BF267B" w:rsidRPr="00BF267B" w:rsidRDefault="00BF267B" w:rsidP="00BF6A3C">
      <w:pPr>
        <w:rPr>
          <w:rFonts w:ascii="Times New Roman" w:hAnsi="Times New Roman"/>
          <w:sz w:val="24"/>
          <w:szCs w:val="24"/>
          <w:lang w:val="en-US"/>
        </w:rPr>
      </w:pPr>
      <w:r w:rsidRPr="00E45273">
        <w:rPr>
          <w:rFonts w:ascii="Times New Roman" w:hAnsi="Times New Roman"/>
          <w:bCs/>
          <w:i/>
          <w:sz w:val="24"/>
          <w:szCs w:val="24"/>
          <w:lang w:val="en-US"/>
        </w:rPr>
        <w:t>Experiment 7</w:t>
      </w:r>
      <w:r w:rsidRPr="00BF267B">
        <w:rPr>
          <w:rFonts w:ascii="Times New Roman" w:hAnsi="Times New Roman"/>
          <w:bCs/>
          <w:sz w:val="24"/>
          <w:szCs w:val="24"/>
          <w:lang w:val="en-US"/>
        </w:rPr>
        <w:t>.</w:t>
      </w:r>
      <w:r w:rsidRPr="00BF267B">
        <w:rPr>
          <w:rFonts w:ascii="Times New Roman" w:hAnsi="Times New Roman"/>
          <w:sz w:val="24"/>
          <w:szCs w:val="24"/>
          <w:lang w:val="en-US"/>
        </w:rPr>
        <w:t xml:space="preserve"> The effect of trap design on the catches of </w:t>
      </w:r>
      <w:r w:rsidRPr="00BF267B">
        <w:rPr>
          <w:rFonts w:ascii="Times New Roman" w:hAnsi="Times New Roman"/>
          <w:i/>
          <w:iCs/>
          <w:sz w:val="24"/>
          <w:szCs w:val="24"/>
          <w:lang w:val="en-US"/>
        </w:rPr>
        <w:t>T. dilaticollis</w:t>
      </w:r>
      <w:r w:rsidRPr="00BF267B">
        <w:rPr>
          <w:rFonts w:ascii="Times New Roman" w:hAnsi="Times New Roman"/>
          <w:sz w:val="24"/>
          <w:szCs w:val="24"/>
          <w:lang w:val="en-US"/>
        </w:rPr>
        <w:t xml:space="preserve"> was evaluated using the same binary lure (Z3-6OH + E2-6OH) loaded into Just Plastics PE </w:t>
      </w:r>
      <w:r w:rsidR="008429C4">
        <w:rPr>
          <w:rFonts w:ascii="Times New Roman" w:hAnsi="Times New Roman"/>
          <w:sz w:val="24"/>
          <w:szCs w:val="24"/>
          <w:lang w:val="en-US"/>
        </w:rPr>
        <w:t>containers</w:t>
      </w:r>
      <w:r w:rsidRPr="00BF267B">
        <w:rPr>
          <w:rFonts w:ascii="Times New Roman" w:hAnsi="Times New Roman"/>
          <w:sz w:val="24"/>
          <w:szCs w:val="24"/>
          <w:lang w:val="en-US"/>
        </w:rPr>
        <w:t>. The following trap types were compared: (1) TAL sticky traps (Csalomon®, Hungary), (2) YATLOR funnel traps (RO.SA. Micromecanica s.a.s., Italy), (3) Pherocon® Boll Weevil Traps (Trece Inc., USA; cone traps), and (4) round pitfall traps (14 cm diameter, 8 cm depth) fitted with a funnel and a 30 × 30 cm plastic rain cover. The experiment was conducted with four replicates.</w:t>
      </w:r>
    </w:p>
    <w:p w:rsidR="00BF267B" w:rsidRPr="00BF267B" w:rsidRDefault="00BF267B" w:rsidP="00BF6A3C">
      <w:pPr>
        <w:rPr>
          <w:rFonts w:ascii="Times New Roman" w:hAnsi="Times New Roman"/>
          <w:sz w:val="24"/>
          <w:szCs w:val="24"/>
          <w:lang w:val="en-US"/>
        </w:rPr>
      </w:pPr>
      <w:r w:rsidRPr="00BF267B">
        <w:rPr>
          <w:rFonts w:ascii="Times New Roman" w:hAnsi="Times New Roman"/>
          <w:sz w:val="24"/>
          <w:szCs w:val="24"/>
          <w:lang w:val="en-US"/>
        </w:rPr>
        <w:t>The highest catches of the grey maize weevil were recorded in TAL sticky traps, with catches significantly exceeding those obtained with the other trap types. Mean catches in TAL sticky traps were approximately four times higher than those recorded in the remaining trap designs.</w:t>
      </w:r>
    </w:p>
    <w:p w:rsidR="00BF267B" w:rsidRPr="00BF267B" w:rsidRDefault="00BF267B" w:rsidP="00263890">
      <w:pPr>
        <w:spacing w:before="100" w:beforeAutospacing="1" w:after="100" w:afterAutospacing="1"/>
        <w:ind w:firstLine="0"/>
        <w:rPr>
          <w:rFonts w:ascii="Times New Roman" w:hAnsi="Times New Roman"/>
          <w:b/>
          <w:bCs/>
          <w:sz w:val="24"/>
          <w:szCs w:val="24"/>
          <w:lang w:val="en-US"/>
        </w:rPr>
      </w:pPr>
      <w:r w:rsidRPr="00BF267B">
        <w:rPr>
          <w:rFonts w:ascii="Times New Roman" w:hAnsi="Times New Roman"/>
          <w:b/>
          <w:bCs/>
          <w:sz w:val="24"/>
          <w:szCs w:val="24"/>
          <w:lang w:val="en-US"/>
        </w:rPr>
        <w:t xml:space="preserve">4.1.4. Monitoring the seasonal activity of adult </w:t>
      </w:r>
      <w:r w:rsidRPr="00BF267B">
        <w:rPr>
          <w:rFonts w:ascii="Times New Roman" w:hAnsi="Times New Roman"/>
          <w:b/>
          <w:bCs/>
          <w:i/>
          <w:iCs/>
          <w:sz w:val="24"/>
          <w:szCs w:val="24"/>
          <w:lang w:val="en-US"/>
        </w:rPr>
        <w:t>Tanymecus dilaticollis</w:t>
      </w:r>
      <w:r w:rsidRPr="00BF267B">
        <w:rPr>
          <w:rFonts w:ascii="Times New Roman" w:hAnsi="Times New Roman"/>
          <w:b/>
          <w:bCs/>
          <w:sz w:val="24"/>
          <w:szCs w:val="24"/>
          <w:lang w:val="en-US"/>
        </w:rPr>
        <w:t xml:space="preserve"> using sticky traps</w:t>
      </w:r>
    </w:p>
    <w:p w:rsidR="00BF267B" w:rsidRPr="00BF267B" w:rsidRDefault="00BF267B" w:rsidP="00BF267B">
      <w:pPr>
        <w:spacing w:before="100" w:beforeAutospacing="1" w:after="100" w:afterAutospacing="1"/>
        <w:rPr>
          <w:rFonts w:ascii="Times New Roman" w:hAnsi="Times New Roman"/>
          <w:sz w:val="24"/>
          <w:szCs w:val="24"/>
          <w:lang w:val="en-US"/>
        </w:rPr>
      </w:pPr>
      <w:r w:rsidRPr="00BF267B">
        <w:rPr>
          <w:rFonts w:ascii="Times New Roman" w:hAnsi="Times New Roman"/>
          <w:sz w:val="24"/>
          <w:szCs w:val="24"/>
          <w:lang w:val="en-US"/>
        </w:rPr>
        <w:t xml:space="preserve">Although the experiment </w:t>
      </w:r>
      <w:r w:rsidR="00E45273">
        <w:rPr>
          <w:rFonts w:ascii="Times New Roman" w:hAnsi="Times New Roman"/>
          <w:sz w:val="24"/>
          <w:szCs w:val="24"/>
          <w:lang w:val="en-US"/>
        </w:rPr>
        <w:t xml:space="preserve">in </w:t>
      </w:r>
      <w:r w:rsidR="00E45273" w:rsidRPr="00BF267B">
        <w:rPr>
          <w:rFonts w:ascii="Times New Roman" w:hAnsi="Times New Roman"/>
          <w:sz w:val="24"/>
          <w:szCs w:val="24"/>
          <w:lang w:val="en-US"/>
        </w:rPr>
        <w:t xml:space="preserve">2009 </w:t>
      </w:r>
      <w:r w:rsidRPr="00BF267B">
        <w:rPr>
          <w:rFonts w:ascii="Times New Roman" w:hAnsi="Times New Roman"/>
          <w:sz w:val="24"/>
          <w:szCs w:val="24"/>
          <w:lang w:val="en-US"/>
        </w:rPr>
        <w:t xml:space="preserve">did not cover the beginning and the end of the seasonal activity of </w:t>
      </w:r>
      <w:r w:rsidRPr="00BF267B">
        <w:rPr>
          <w:rFonts w:ascii="Times New Roman" w:hAnsi="Times New Roman"/>
          <w:i/>
          <w:iCs/>
          <w:sz w:val="24"/>
          <w:szCs w:val="24"/>
          <w:lang w:val="en-US"/>
        </w:rPr>
        <w:t>T. dilaticollis</w:t>
      </w:r>
      <w:r w:rsidRPr="00BF267B">
        <w:rPr>
          <w:rFonts w:ascii="Times New Roman" w:hAnsi="Times New Roman"/>
          <w:sz w:val="24"/>
          <w:szCs w:val="24"/>
          <w:lang w:val="en-US"/>
        </w:rPr>
        <w:t xml:space="preserve"> in the Knezha region because trapping started relatively late, </w:t>
      </w:r>
      <w:r w:rsidRPr="00E53B36">
        <w:rPr>
          <w:rFonts w:ascii="Times New Roman" w:hAnsi="Times New Roman"/>
          <w:sz w:val="24"/>
          <w:szCs w:val="24"/>
          <w:lang w:val="en-US"/>
        </w:rPr>
        <w:t>Fig</w:t>
      </w:r>
      <w:r w:rsidR="00E45273" w:rsidRPr="00E53B36">
        <w:rPr>
          <w:rFonts w:ascii="Times New Roman" w:hAnsi="Times New Roman"/>
          <w:sz w:val="24"/>
          <w:szCs w:val="24"/>
          <w:lang w:val="en-US"/>
        </w:rPr>
        <w:t>.</w:t>
      </w:r>
      <w:r w:rsidRPr="00E53B36">
        <w:rPr>
          <w:rFonts w:ascii="Times New Roman" w:hAnsi="Times New Roman"/>
          <w:sz w:val="24"/>
          <w:szCs w:val="24"/>
          <w:lang w:val="en-US"/>
        </w:rPr>
        <w:t xml:space="preserve"> 5</w:t>
      </w:r>
      <w:r w:rsidRPr="00BF267B">
        <w:rPr>
          <w:rFonts w:ascii="Times New Roman" w:hAnsi="Times New Roman"/>
          <w:sz w:val="24"/>
          <w:szCs w:val="24"/>
          <w:lang w:val="en-US"/>
        </w:rPr>
        <w:t xml:space="preserve"> shows that adults were captured at every sampling date between 21 May and 29 June 2009 in traps baited with single-compound lures (except during the last two sampling dates in June for traps baited with E2-6OH). No distinct peaks in trap catches were observed during this period. In contrast, no </w:t>
      </w:r>
      <w:r w:rsidRPr="00BF267B">
        <w:rPr>
          <w:rFonts w:ascii="Times New Roman" w:hAnsi="Times New Roman"/>
          <w:i/>
          <w:iCs/>
          <w:sz w:val="24"/>
          <w:szCs w:val="24"/>
          <w:lang w:val="en-US"/>
        </w:rPr>
        <w:t>T. dilaticollis</w:t>
      </w:r>
      <w:r w:rsidRPr="00BF267B">
        <w:rPr>
          <w:rFonts w:ascii="Times New Roman" w:hAnsi="Times New Roman"/>
          <w:sz w:val="24"/>
          <w:szCs w:val="24"/>
          <w:lang w:val="en-US"/>
        </w:rPr>
        <w:t xml:space="preserve"> adults were captured in the unbaited control traps on ten of the sampling dates.</w:t>
      </w:r>
    </w:p>
    <w:p w:rsidR="00BF267B" w:rsidRDefault="00BF267B" w:rsidP="00BF267B">
      <w:pPr>
        <w:spacing w:before="100" w:beforeAutospacing="1" w:after="100" w:afterAutospacing="1"/>
        <w:rPr>
          <w:rFonts w:ascii="Times New Roman" w:hAnsi="Times New Roman"/>
          <w:sz w:val="24"/>
          <w:szCs w:val="24"/>
          <w:lang w:val="en-US"/>
        </w:rPr>
      </w:pPr>
    </w:p>
    <w:p w:rsidR="003205A4" w:rsidRDefault="00686510" w:rsidP="00BF267B">
      <w:pPr>
        <w:spacing w:before="100" w:beforeAutospacing="1" w:after="100" w:afterAutospacing="1"/>
        <w:rPr>
          <w:rFonts w:ascii="Times New Roman" w:hAnsi="Times New Roman"/>
          <w:sz w:val="24"/>
          <w:szCs w:val="24"/>
          <w:lang w:val="en-US"/>
        </w:rPr>
      </w:pPr>
      <w:r w:rsidRPr="00686510">
        <w:rPr>
          <w:rFonts w:ascii="Times New Roman" w:hAnsi="Times New Roman"/>
          <w:noProof/>
          <w:sz w:val="24"/>
          <w:szCs w:val="24"/>
          <w:lang w:val="en-US"/>
        </w:rPr>
        <w:lastRenderedPageBreak/>
        <w:drawing>
          <wp:inline distT="0" distB="0" distL="0" distR="0">
            <wp:extent cx="5495925" cy="2419350"/>
            <wp:effectExtent l="0" t="0" r="0" b="0"/>
            <wp:docPr id="8" name="Картина 22" descr="C:\Users\user\Downloads\ChatGPT Image 23.07.2026 г., 08_39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2" descr="C:\Users\user\Downloads\ChatGPT Image 23.07.2026 г., 08_39_24.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95925" cy="2419350"/>
                    </a:xfrm>
                    <a:prstGeom prst="rect">
                      <a:avLst/>
                    </a:prstGeom>
                    <a:noFill/>
                    <a:ln>
                      <a:noFill/>
                    </a:ln>
                  </pic:spPr>
                </pic:pic>
              </a:graphicData>
            </a:graphic>
          </wp:inline>
        </w:drawing>
      </w:r>
    </w:p>
    <w:p w:rsidR="0078198B" w:rsidRPr="0078198B" w:rsidRDefault="00C33C6E" w:rsidP="00312CD8">
      <w:pPr>
        <w:spacing w:before="100" w:beforeAutospacing="1" w:after="100" w:afterAutospacing="1"/>
        <w:ind w:firstLine="0"/>
        <w:rPr>
          <w:rFonts w:cs="Calibri"/>
          <w:sz w:val="24"/>
          <w:szCs w:val="24"/>
          <w:lang w:val="en-US"/>
        </w:rPr>
      </w:pPr>
      <w:r w:rsidRPr="0078198B">
        <w:rPr>
          <w:rFonts w:cs="Calibri"/>
          <w:b/>
          <w:bCs/>
          <w:sz w:val="24"/>
          <w:szCs w:val="24"/>
          <w:lang w:val="en-US"/>
        </w:rPr>
        <w:t>Fig</w:t>
      </w:r>
      <w:r>
        <w:rPr>
          <w:rFonts w:cs="Calibri"/>
          <w:b/>
          <w:bCs/>
          <w:sz w:val="24"/>
          <w:szCs w:val="24"/>
          <w:lang w:val="en-US"/>
        </w:rPr>
        <w:t>.</w:t>
      </w:r>
      <w:r w:rsidRPr="0078198B">
        <w:rPr>
          <w:rFonts w:cs="Calibri"/>
          <w:b/>
          <w:bCs/>
          <w:sz w:val="24"/>
          <w:szCs w:val="24"/>
          <w:lang w:val="en-US"/>
        </w:rPr>
        <w:t xml:space="preserve"> </w:t>
      </w:r>
      <w:r w:rsidR="003205A4" w:rsidRPr="0078198B">
        <w:rPr>
          <w:rFonts w:cs="Calibri"/>
          <w:b/>
          <w:bCs/>
          <w:sz w:val="24"/>
          <w:szCs w:val="24"/>
          <w:lang w:val="en-US"/>
        </w:rPr>
        <w:t>5.</w:t>
      </w:r>
      <w:r w:rsidR="003205A4" w:rsidRPr="0078198B">
        <w:rPr>
          <w:rFonts w:cs="Calibri"/>
          <w:sz w:val="24"/>
          <w:szCs w:val="24"/>
          <w:lang w:val="en-US"/>
        </w:rPr>
        <w:t xml:space="preserve"> Mean catches of adult </w:t>
      </w:r>
      <w:r w:rsidR="003205A4" w:rsidRPr="0078198B">
        <w:rPr>
          <w:rFonts w:cs="Calibri"/>
          <w:i/>
          <w:iCs/>
          <w:sz w:val="24"/>
          <w:szCs w:val="24"/>
          <w:lang w:val="en-US"/>
        </w:rPr>
        <w:t>Tanymecus dilaticollis</w:t>
      </w:r>
      <w:r w:rsidR="003205A4" w:rsidRPr="0078198B">
        <w:rPr>
          <w:rFonts w:cs="Calibri"/>
          <w:sz w:val="24"/>
          <w:szCs w:val="24"/>
          <w:lang w:val="en-US"/>
        </w:rPr>
        <w:t xml:space="preserve"> in TAL sticky traps baited with single-component lures loaded into PE cotton dispensers and in unbaited control traps, Knezha, Bulgaria, 2009, three replicates.</w:t>
      </w:r>
    </w:p>
    <w:p w:rsidR="0078198B" w:rsidRPr="0078198B" w:rsidRDefault="0078198B" w:rsidP="0078198B">
      <w:pPr>
        <w:spacing w:before="100" w:beforeAutospacing="1" w:after="100" w:afterAutospacing="1"/>
        <w:rPr>
          <w:rFonts w:ascii="Times New Roman" w:hAnsi="Times New Roman"/>
          <w:sz w:val="24"/>
          <w:szCs w:val="24"/>
          <w:lang w:val="en-US"/>
        </w:rPr>
      </w:pPr>
      <w:r w:rsidRPr="0078198B">
        <w:rPr>
          <w:rFonts w:ascii="Times New Roman" w:hAnsi="Times New Roman"/>
          <w:sz w:val="24"/>
          <w:szCs w:val="24"/>
          <w:lang w:val="en-US"/>
        </w:rPr>
        <w:t xml:space="preserve">During 2011, TAL sticky traps baited with the binary blend of E2-6OH and Z3-6OH (1:1) detected the onset of adult </w:t>
      </w:r>
      <w:r w:rsidRPr="0078198B">
        <w:rPr>
          <w:rFonts w:ascii="Times New Roman" w:hAnsi="Times New Roman"/>
          <w:i/>
          <w:iCs/>
          <w:sz w:val="24"/>
          <w:szCs w:val="24"/>
          <w:lang w:val="en-US"/>
        </w:rPr>
        <w:t>Tanymecus dilaticollis</w:t>
      </w:r>
      <w:r w:rsidRPr="0078198B">
        <w:rPr>
          <w:rFonts w:ascii="Times New Roman" w:hAnsi="Times New Roman"/>
          <w:sz w:val="24"/>
          <w:szCs w:val="24"/>
          <w:lang w:val="en-US"/>
        </w:rPr>
        <w:t xml:space="preserve"> activity at the beginning of April. The highest trap catches were recorded between 20 and 25 April (</w:t>
      </w:r>
      <w:r w:rsidRPr="00E53B36">
        <w:rPr>
          <w:rFonts w:ascii="Times New Roman" w:hAnsi="Times New Roman"/>
          <w:sz w:val="24"/>
          <w:szCs w:val="24"/>
          <w:lang w:val="en-US"/>
        </w:rPr>
        <w:t>Fig. 6</w:t>
      </w:r>
      <w:r w:rsidRPr="0078198B">
        <w:rPr>
          <w:rFonts w:ascii="Times New Roman" w:hAnsi="Times New Roman"/>
          <w:sz w:val="24"/>
          <w:szCs w:val="24"/>
          <w:lang w:val="en-US"/>
        </w:rPr>
        <w:t xml:space="preserve">). A second distinct peak in adult activity occurred from the second half of May to early June 2011. These peaks coincided with the early developmental stages of maize, from seedling emergence to the five-leaf stage, during which the grey maize weevil causes the greatest damage. The last adults of </w:t>
      </w:r>
      <w:r w:rsidRPr="0078198B">
        <w:rPr>
          <w:rFonts w:ascii="Times New Roman" w:hAnsi="Times New Roman"/>
          <w:i/>
          <w:iCs/>
          <w:sz w:val="24"/>
          <w:szCs w:val="24"/>
          <w:lang w:val="en-US"/>
        </w:rPr>
        <w:t>T. dilaticollis</w:t>
      </w:r>
      <w:r w:rsidRPr="0078198B">
        <w:rPr>
          <w:rFonts w:ascii="Times New Roman" w:hAnsi="Times New Roman"/>
          <w:sz w:val="24"/>
          <w:szCs w:val="24"/>
          <w:lang w:val="en-US"/>
        </w:rPr>
        <w:t xml:space="preserve"> were captured on 8 July 2011.</w:t>
      </w:r>
      <w:r>
        <w:rPr>
          <w:rFonts w:ascii="Times New Roman" w:hAnsi="Times New Roman"/>
          <w:sz w:val="24"/>
          <w:szCs w:val="24"/>
        </w:rPr>
        <w:t xml:space="preserve"> </w:t>
      </w:r>
      <w:r w:rsidRPr="0078198B">
        <w:rPr>
          <w:rFonts w:ascii="Times New Roman" w:hAnsi="Times New Roman"/>
          <w:sz w:val="24"/>
          <w:szCs w:val="24"/>
          <w:lang w:val="en-US"/>
        </w:rPr>
        <w:t>The seasonal activity pattern recorded in the unbaited control traps was generally similar; however, the activity peaks were much less pronounced. Nearly twice as many adults were captured in baited traps as in the unbaited control traps, and the difference in mean catches was statistically significant (</w:t>
      </w:r>
      <w:r w:rsidRPr="0078198B">
        <w:rPr>
          <w:rFonts w:ascii="Times New Roman" w:hAnsi="Times New Roman"/>
          <w:i/>
          <w:iCs/>
          <w:sz w:val="24"/>
          <w:szCs w:val="24"/>
          <w:lang w:val="en-US"/>
        </w:rPr>
        <w:t>P</w:t>
      </w:r>
      <w:r w:rsidRPr="0078198B">
        <w:rPr>
          <w:rFonts w:ascii="Times New Roman" w:hAnsi="Times New Roman"/>
          <w:sz w:val="24"/>
          <w:szCs w:val="24"/>
          <w:lang w:val="en-US"/>
        </w:rPr>
        <w:t xml:space="preserve"> = 0.0026; </w:t>
      </w:r>
      <w:r w:rsidRPr="0078198B">
        <w:rPr>
          <w:rFonts w:ascii="Times New Roman" w:hAnsi="Times New Roman"/>
          <w:i/>
          <w:iCs/>
          <w:sz w:val="24"/>
          <w:szCs w:val="24"/>
          <w:lang w:val="en-US"/>
        </w:rPr>
        <w:t>t</w:t>
      </w:r>
      <w:r w:rsidRPr="0078198B">
        <w:rPr>
          <w:rFonts w:ascii="Times New Roman" w:hAnsi="Times New Roman"/>
          <w:sz w:val="24"/>
          <w:szCs w:val="24"/>
          <w:lang w:val="en-US"/>
        </w:rPr>
        <w:t>-test).</w:t>
      </w:r>
      <w:r>
        <w:rPr>
          <w:rFonts w:ascii="Times New Roman" w:hAnsi="Times New Roman"/>
          <w:sz w:val="24"/>
          <w:szCs w:val="24"/>
        </w:rPr>
        <w:t xml:space="preserve"> </w:t>
      </w:r>
      <w:r w:rsidRPr="0078198B">
        <w:rPr>
          <w:rFonts w:ascii="Times New Roman" w:hAnsi="Times New Roman"/>
          <w:sz w:val="24"/>
          <w:szCs w:val="24"/>
          <w:lang w:val="en-US"/>
        </w:rPr>
        <w:t>In 2013, a distinct peak in adult activity of the grey maize weevil was observed from late April to early May, followed by a second, less pronounced peak after mid-May (</w:t>
      </w:r>
      <w:r w:rsidRPr="00E53B36">
        <w:rPr>
          <w:rFonts w:ascii="Times New Roman" w:hAnsi="Times New Roman"/>
          <w:sz w:val="24"/>
          <w:szCs w:val="24"/>
          <w:lang w:val="en-US"/>
        </w:rPr>
        <w:t>Fig. 7</w:t>
      </w:r>
      <w:r w:rsidRPr="0078198B">
        <w:rPr>
          <w:rFonts w:ascii="Times New Roman" w:hAnsi="Times New Roman"/>
          <w:sz w:val="24"/>
          <w:szCs w:val="24"/>
          <w:lang w:val="en-US"/>
        </w:rPr>
        <w:t>).</w:t>
      </w:r>
    </w:p>
    <w:p w:rsidR="0078198B" w:rsidRPr="0078198B" w:rsidRDefault="00686510" w:rsidP="0078198B">
      <w:pPr>
        <w:ind w:firstLine="0"/>
        <w:rPr>
          <w:rFonts w:ascii="Times New Roman" w:hAnsi="Times New Roman"/>
          <w:b/>
          <w:bCs/>
          <w:sz w:val="24"/>
          <w:szCs w:val="24"/>
        </w:rPr>
      </w:pPr>
      <w:r w:rsidRPr="00686510">
        <w:rPr>
          <w:rFonts w:ascii="Times New Roman" w:hAnsi="Times New Roman"/>
          <w:b/>
          <w:noProof/>
          <w:sz w:val="24"/>
          <w:szCs w:val="24"/>
          <w:lang w:val="en-US"/>
        </w:rPr>
        <w:lastRenderedPageBreak/>
        <w:drawing>
          <wp:inline distT="0" distB="0" distL="0" distR="0" wp14:anchorId="70C7CBC2" wp14:editId="3BE0D799">
            <wp:extent cx="5751830" cy="3081020"/>
            <wp:effectExtent l="0" t="0" r="0" b="0"/>
            <wp:docPr id="9" name="Chart 10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78198B" w:rsidRPr="0078198B" w:rsidRDefault="00E53B36" w:rsidP="0078198B">
      <w:pPr>
        <w:ind w:firstLine="0"/>
        <w:rPr>
          <w:rFonts w:cs="Calibri"/>
          <w:bCs/>
          <w:sz w:val="24"/>
          <w:szCs w:val="24"/>
          <w:lang w:val="en-US"/>
        </w:rPr>
      </w:pPr>
      <w:r w:rsidRPr="0078198B">
        <w:rPr>
          <w:rFonts w:cs="Calibri"/>
          <w:b/>
          <w:bCs/>
          <w:sz w:val="24"/>
          <w:szCs w:val="24"/>
          <w:lang w:val="en-US"/>
        </w:rPr>
        <w:t>Fig</w:t>
      </w:r>
      <w:r>
        <w:rPr>
          <w:rFonts w:cs="Calibri"/>
          <w:b/>
          <w:bCs/>
          <w:sz w:val="24"/>
          <w:szCs w:val="24"/>
        </w:rPr>
        <w:t>.</w:t>
      </w:r>
      <w:r w:rsidR="00C33C6E">
        <w:rPr>
          <w:rFonts w:cs="Calibri"/>
          <w:b/>
          <w:bCs/>
          <w:sz w:val="24"/>
          <w:szCs w:val="24"/>
          <w:lang w:val="en-US"/>
        </w:rPr>
        <w:t xml:space="preserve"> </w:t>
      </w:r>
      <w:r w:rsidR="0078198B" w:rsidRPr="0078198B">
        <w:rPr>
          <w:rFonts w:cs="Calibri"/>
          <w:b/>
          <w:bCs/>
          <w:sz w:val="24"/>
          <w:szCs w:val="24"/>
          <w:lang w:val="en-US"/>
        </w:rPr>
        <w:t>6.</w:t>
      </w:r>
      <w:r w:rsidR="0078198B" w:rsidRPr="0078198B">
        <w:rPr>
          <w:rFonts w:cs="Calibri"/>
          <w:bCs/>
          <w:sz w:val="24"/>
          <w:szCs w:val="24"/>
          <w:lang w:val="en-US"/>
        </w:rPr>
        <w:t xml:space="preserve"> Mean catches (± SE) of adult </w:t>
      </w:r>
      <w:r w:rsidR="0078198B" w:rsidRPr="0078198B">
        <w:rPr>
          <w:rFonts w:cs="Calibri"/>
          <w:bCs/>
          <w:i/>
          <w:iCs/>
          <w:sz w:val="24"/>
          <w:szCs w:val="24"/>
          <w:lang w:val="en-US"/>
        </w:rPr>
        <w:t>Tanymecus dilaticollis</w:t>
      </w:r>
      <w:r w:rsidR="0078198B" w:rsidRPr="0078198B">
        <w:rPr>
          <w:rFonts w:cs="Calibri"/>
          <w:bCs/>
          <w:sz w:val="24"/>
          <w:szCs w:val="24"/>
          <w:lang w:val="en-US"/>
        </w:rPr>
        <w:t xml:space="preserve"> in TAL sticky traps baited with the binary blend of E2-6OH and Z3-6OH (1:1) loaded into Just Plastics </w:t>
      </w:r>
      <w:r w:rsidR="007732E5" w:rsidRPr="0078198B">
        <w:rPr>
          <w:rFonts w:cs="Calibri"/>
          <w:bCs/>
          <w:sz w:val="24"/>
          <w:szCs w:val="24"/>
          <w:lang w:val="en-US"/>
        </w:rPr>
        <w:t xml:space="preserve">PE </w:t>
      </w:r>
      <w:r w:rsidR="0078198B" w:rsidRPr="0078198B">
        <w:rPr>
          <w:rFonts w:cs="Calibri"/>
          <w:bCs/>
          <w:sz w:val="24"/>
          <w:szCs w:val="24"/>
          <w:lang w:val="en-US"/>
        </w:rPr>
        <w:t xml:space="preserve">2.5-ml </w:t>
      </w:r>
      <w:r w:rsidR="008429C4">
        <w:rPr>
          <w:rFonts w:cs="Calibri"/>
          <w:bCs/>
          <w:sz w:val="24"/>
          <w:szCs w:val="24"/>
          <w:lang w:val="en-US"/>
        </w:rPr>
        <w:t>containers</w:t>
      </w:r>
      <w:r w:rsidR="0078198B" w:rsidRPr="0078198B">
        <w:rPr>
          <w:rFonts w:cs="Calibri"/>
          <w:bCs/>
          <w:sz w:val="24"/>
          <w:szCs w:val="24"/>
          <w:lang w:val="en-US"/>
        </w:rPr>
        <w:t xml:space="preserve">, Knezha, Bulgaria, 2011, four replicates. The line represents the mean daily air temperature (°C). Arrows indicate the beginning and the end of the monitoring period, and </w:t>
      </w:r>
      <w:r w:rsidR="0078198B" w:rsidRPr="0078198B">
        <w:rPr>
          <w:rFonts w:cs="Calibri"/>
          <w:b/>
          <w:bCs/>
          <w:sz w:val="24"/>
          <w:szCs w:val="24"/>
          <w:lang w:val="en-US"/>
        </w:rPr>
        <w:t>X</w:t>
      </w:r>
      <w:r w:rsidR="0078198B" w:rsidRPr="0078198B">
        <w:rPr>
          <w:rFonts w:cs="Calibri"/>
          <w:bCs/>
          <w:sz w:val="24"/>
          <w:szCs w:val="24"/>
          <w:lang w:val="en-US"/>
        </w:rPr>
        <w:t xml:space="preserve"> denotes the sampling date on which no catches were recorded because the traps had been destroyed by strong winds.</w:t>
      </w:r>
    </w:p>
    <w:p w:rsidR="0078198B" w:rsidRPr="0078198B" w:rsidRDefault="0078198B" w:rsidP="0078198B">
      <w:pPr>
        <w:ind w:firstLine="0"/>
        <w:rPr>
          <w:rFonts w:ascii="Times New Roman" w:hAnsi="Times New Roman"/>
          <w:b/>
          <w:bCs/>
          <w:sz w:val="24"/>
          <w:szCs w:val="24"/>
          <w:lang w:val="en-US"/>
        </w:rPr>
      </w:pPr>
    </w:p>
    <w:p w:rsidR="0078198B" w:rsidRPr="0078198B" w:rsidRDefault="0078198B" w:rsidP="0078198B">
      <w:pPr>
        <w:ind w:firstLine="0"/>
        <w:rPr>
          <w:rFonts w:ascii="Times New Roman" w:hAnsi="Times New Roman"/>
          <w:b/>
          <w:bCs/>
          <w:sz w:val="24"/>
          <w:szCs w:val="24"/>
        </w:rPr>
      </w:pPr>
      <w:r w:rsidRPr="0078198B">
        <w:rPr>
          <w:rFonts w:ascii="Times New Roman" w:hAnsi="Times New Roman"/>
          <w:b/>
          <w:bCs/>
          <w:sz w:val="24"/>
          <w:szCs w:val="24"/>
        </w:rPr>
        <w:t xml:space="preserve"> </w:t>
      </w:r>
      <w:r w:rsidR="00686510" w:rsidRPr="00686510">
        <w:rPr>
          <w:rFonts w:ascii="Times New Roman" w:hAnsi="Times New Roman"/>
          <w:b/>
          <w:noProof/>
          <w:sz w:val="24"/>
          <w:szCs w:val="24"/>
          <w:lang w:val="en-US"/>
        </w:rPr>
        <w:drawing>
          <wp:inline distT="0" distB="0" distL="0" distR="0">
            <wp:extent cx="5753100" cy="2543175"/>
            <wp:effectExtent l="0" t="0" r="0" b="0"/>
            <wp:docPr id="10" name="Картина 24" descr="C:\Users\user\Downloads\ChatGPT Image 23.07.2026 г., 08_43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4" descr="C:\Users\user\Downloads\ChatGPT Image 23.07.2026 г., 08_43_01.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53100" cy="2543175"/>
                    </a:xfrm>
                    <a:prstGeom prst="rect">
                      <a:avLst/>
                    </a:prstGeom>
                    <a:noFill/>
                    <a:ln>
                      <a:noFill/>
                    </a:ln>
                  </pic:spPr>
                </pic:pic>
              </a:graphicData>
            </a:graphic>
          </wp:inline>
        </w:drawing>
      </w:r>
    </w:p>
    <w:p w:rsidR="0078198B" w:rsidRPr="0078198B" w:rsidRDefault="00E53B36" w:rsidP="0078198B">
      <w:pPr>
        <w:ind w:firstLine="0"/>
        <w:rPr>
          <w:rFonts w:cs="Calibri"/>
          <w:bCs/>
          <w:sz w:val="24"/>
          <w:szCs w:val="24"/>
          <w:lang w:val="en-US"/>
        </w:rPr>
      </w:pPr>
      <w:r w:rsidRPr="0078198B">
        <w:rPr>
          <w:rFonts w:cs="Calibri"/>
          <w:b/>
          <w:bCs/>
          <w:sz w:val="24"/>
          <w:szCs w:val="24"/>
          <w:lang w:val="en-US"/>
        </w:rPr>
        <w:t>Fig</w:t>
      </w:r>
      <w:r>
        <w:rPr>
          <w:rFonts w:cs="Calibri"/>
          <w:b/>
          <w:bCs/>
          <w:sz w:val="24"/>
          <w:szCs w:val="24"/>
        </w:rPr>
        <w:t>.</w:t>
      </w:r>
      <w:r w:rsidR="00C33C6E">
        <w:rPr>
          <w:rFonts w:cs="Calibri"/>
          <w:b/>
          <w:bCs/>
          <w:sz w:val="24"/>
          <w:szCs w:val="24"/>
          <w:lang w:val="en-US"/>
        </w:rPr>
        <w:t xml:space="preserve"> </w:t>
      </w:r>
      <w:r w:rsidR="0078198B" w:rsidRPr="0078198B">
        <w:rPr>
          <w:rFonts w:cs="Calibri"/>
          <w:b/>
          <w:bCs/>
          <w:sz w:val="24"/>
          <w:szCs w:val="24"/>
          <w:lang w:val="en-US"/>
        </w:rPr>
        <w:t>7.</w:t>
      </w:r>
      <w:r w:rsidR="0078198B" w:rsidRPr="0078198B">
        <w:rPr>
          <w:rFonts w:cs="Calibri"/>
          <w:bCs/>
          <w:sz w:val="24"/>
          <w:szCs w:val="24"/>
          <w:lang w:val="en-US"/>
        </w:rPr>
        <w:t xml:space="preserve"> Mean catches (± SE) of adult </w:t>
      </w:r>
      <w:r w:rsidR="0078198B" w:rsidRPr="0078198B">
        <w:rPr>
          <w:rFonts w:cs="Calibri"/>
          <w:bCs/>
          <w:i/>
          <w:iCs/>
          <w:sz w:val="24"/>
          <w:szCs w:val="24"/>
          <w:lang w:val="en-US"/>
        </w:rPr>
        <w:t>Tanymecus dilaticollis</w:t>
      </w:r>
      <w:r w:rsidR="0078198B" w:rsidRPr="0078198B">
        <w:rPr>
          <w:rFonts w:cs="Calibri"/>
          <w:bCs/>
          <w:sz w:val="24"/>
          <w:szCs w:val="24"/>
          <w:lang w:val="en-US"/>
        </w:rPr>
        <w:t xml:space="preserve"> in TAL sticky traps baited with binary lures, Knezha, Bulgaria, 2013, four replicates.</w:t>
      </w:r>
    </w:p>
    <w:p w:rsidR="0025694F" w:rsidRDefault="0025694F" w:rsidP="0078198B">
      <w:pPr>
        <w:ind w:firstLine="0"/>
        <w:rPr>
          <w:rFonts w:ascii="Times New Roman" w:hAnsi="Times New Roman"/>
          <w:b/>
          <w:bCs/>
          <w:sz w:val="24"/>
          <w:szCs w:val="24"/>
          <w:lang w:val="en-US"/>
        </w:rPr>
      </w:pPr>
    </w:p>
    <w:p w:rsidR="0078198B" w:rsidRPr="0078198B" w:rsidRDefault="0078198B" w:rsidP="0078198B">
      <w:pPr>
        <w:ind w:firstLine="0"/>
        <w:rPr>
          <w:rFonts w:ascii="Times New Roman" w:hAnsi="Times New Roman"/>
          <w:b/>
          <w:bCs/>
          <w:sz w:val="24"/>
          <w:szCs w:val="24"/>
          <w:lang w:val="en-US"/>
        </w:rPr>
      </w:pPr>
      <w:r w:rsidRPr="0078198B">
        <w:rPr>
          <w:rFonts w:ascii="Times New Roman" w:hAnsi="Times New Roman"/>
          <w:b/>
          <w:bCs/>
          <w:sz w:val="24"/>
          <w:szCs w:val="24"/>
          <w:lang w:val="en-US"/>
        </w:rPr>
        <w:lastRenderedPageBreak/>
        <w:t>4.1.5. Investigation of the attractiveness of live conspecifics in the field</w:t>
      </w:r>
    </w:p>
    <w:p w:rsidR="0078198B" w:rsidRPr="0078198B" w:rsidRDefault="0078198B" w:rsidP="00BF6A3C">
      <w:pPr>
        <w:ind w:firstLine="567"/>
        <w:rPr>
          <w:rFonts w:ascii="Times New Roman" w:hAnsi="Times New Roman"/>
          <w:sz w:val="24"/>
          <w:szCs w:val="24"/>
          <w:lang w:val="en-US"/>
        </w:rPr>
      </w:pPr>
      <w:r w:rsidRPr="0078198B">
        <w:rPr>
          <w:rFonts w:ascii="Times New Roman" w:hAnsi="Times New Roman"/>
          <w:sz w:val="24"/>
          <w:szCs w:val="24"/>
          <w:lang w:val="en-US"/>
        </w:rPr>
        <w:t>When the attractiveness of live male and female individuals was investigated (placed in metal cages containing five individuals of each sex and supplemented with maize leaves), adult grey maize weevils were captured in all tested trap variants. The highest mean catch of male beetles was recorded in traps baited with live females. A statistically significant difference was found between the mean catches of males in traps baited with live females and those in the control traps (</w:t>
      </w:r>
      <w:r w:rsidRPr="0078198B">
        <w:rPr>
          <w:rFonts w:ascii="Times New Roman" w:hAnsi="Times New Roman"/>
          <w:i/>
          <w:iCs/>
          <w:sz w:val="24"/>
          <w:szCs w:val="24"/>
          <w:lang w:val="en-US"/>
        </w:rPr>
        <w:t>P</w:t>
      </w:r>
      <w:r w:rsidRPr="0078198B">
        <w:rPr>
          <w:rFonts w:ascii="Times New Roman" w:hAnsi="Times New Roman"/>
          <w:sz w:val="24"/>
          <w:szCs w:val="24"/>
          <w:lang w:val="en-US"/>
        </w:rPr>
        <w:t xml:space="preserve"> ≤ 0.05, ANOVA, LSD test).</w:t>
      </w:r>
      <w:r>
        <w:rPr>
          <w:rFonts w:ascii="Times New Roman" w:hAnsi="Times New Roman"/>
          <w:sz w:val="24"/>
          <w:szCs w:val="24"/>
        </w:rPr>
        <w:t xml:space="preserve"> </w:t>
      </w:r>
      <w:r w:rsidRPr="0078198B">
        <w:rPr>
          <w:rFonts w:ascii="Times New Roman" w:hAnsi="Times New Roman"/>
          <w:sz w:val="24"/>
          <w:szCs w:val="24"/>
          <w:lang w:val="en-US"/>
        </w:rPr>
        <w:t xml:space="preserve">In contrast, the highest mean catch of female </w:t>
      </w:r>
      <w:r w:rsidRPr="0078198B">
        <w:rPr>
          <w:rFonts w:ascii="Times New Roman" w:hAnsi="Times New Roman"/>
          <w:i/>
          <w:iCs/>
          <w:sz w:val="24"/>
          <w:szCs w:val="24"/>
          <w:lang w:val="en-US"/>
        </w:rPr>
        <w:t>T. dilaticollis</w:t>
      </w:r>
      <w:r w:rsidRPr="0078198B">
        <w:rPr>
          <w:rFonts w:ascii="Times New Roman" w:hAnsi="Times New Roman"/>
          <w:sz w:val="24"/>
          <w:szCs w:val="24"/>
          <w:lang w:val="en-US"/>
        </w:rPr>
        <w:t xml:space="preserve"> individuals was recorded in traps baited with live males; however, no statistically significant differences were detected between catches in traps baited with live males and those in the other tested variants (live females and control traps).</w:t>
      </w:r>
    </w:p>
    <w:p w:rsidR="00E45273" w:rsidRDefault="00E45273" w:rsidP="0078198B">
      <w:pPr>
        <w:ind w:firstLine="0"/>
        <w:rPr>
          <w:rFonts w:ascii="Times New Roman" w:hAnsi="Times New Roman"/>
          <w:b/>
          <w:bCs/>
          <w:sz w:val="24"/>
          <w:szCs w:val="24"/>
          <w:lang w:val="en-US"/>
        </w:rPr>
      </w:pPr>
    </w:p>
    <w:p w:rsidR="0078198B" w:rsidRPr="0078198B" w:rsidRDefault="0078198B" w:rsidP="0078198B">
      <w:pPr>
        <w:ind w:firstLine="0"/>
        <w:rPr>
          <w:rFonts w:ascii="Times New Roman" w:hAnsi="Times New Roman"/>
          <w:b/>
          <w:bCs/>
          <w:sz w:val="24"/>
          <w:szCs w:val="24"/>
          <w:lang w:val="en-US"/>
        </w:rPr>
      </w:pPr>
      <w:r w:rsidRPr="0078198B">
        <w:rPr>
          <w:rFonts w:ascii="Times New Roman" w:hAnsi="Times New Roman"/>
          <w:b/>
          <w:bCs/>
          <w:sz w:val="24"/>
          <w:szCs w:val="24"/>
          <w:lang w:val="en-US"/>
        </w:rPr>
        <w:t xml:space="preserve">4.1.6. Evaluation of the efficacy of the bioinsecticide Naturalis against </w:t>
      </w:r>
      <w:r w:rsidRPr="0078198B">
        <w:rPr>
          <w:rFonts w:ascii="Times New Roman" w:hAnsi="Times New Roman"/>
          <w:b/>
          <w:bCs/>
          <w:i/>
          <w:iCs/>
          <w:sz w:val="24"/>
          <w:szCs w:val="24"/>
          <w:lang w:val="en-US"/>
        </w:rPr>
        <w:t>Tanymecus dilaticollis</w:t>
      </w:r>
      <w:r w:rsidRPr="0078198B">
        <w:rPr>
          <w:rFonts w:ascii="Times New Roman" w:hAnsi="Times New Roman"/>
          <w:b/>
          <w:bCs/>
          <w:sz w:val="24"/>
          <w:szCs w:val="24"/>
          <w:lang w:val="en-US"/>
        </w:rPr>
        <w:t xml:space="preserve"> under field conditions</w:t>
      </w:r>
    </w:p>
    <w:p w:rsidR="0078198B" w:rsidRPr="0078198B" w:rsidRDefault="0078198B" w:rsidP="00BF6A3C">
      <w:pPr>
        <w:ind w:firstLine="567"/>
        <w:rPr>
          <w:rFonts w:ascii="Times New Roman" w:hAnsi="Times New Roman"/>
          <w:sz w:val="24"/>
          <w:szCs w:val="24"/>
          <w:lang w:val="en-US"/>
        </w:rPr>
      </w:pPr>
      <w:r w:rsidRPr="0078198B">
        <w:rPr>
          <w:rFonts w:ascii="Times New Roman" w:hAnsi="Times New Roman"/>
          <w:sz w:val="24"/>
          <w:szCs w:val="24"/>
          <w:lang w:val="en-US"/>
        </w:rPr>
        <w:t xml:space="preserve">The results of the field evaluation of Naturalis showed low mean mortality (0.12 ± 0.33) of </w:t>
      </w:r>
      <w:r w:rsidR="00E45273">
        <w:rPr>
          <w:rFonts w:ascii="Times New Roman" w:hAnsi="Times New Roman"/>
          <w:sz w:val="24"/>
          <w:szCs w:val="24"/>
          <w:lang w:val="en-US"/>
        </w:rPr>
        <w:t xml:space="preserve">the </w:t>
      </w:r>
      <w:r w:rsidRPr="0078198B">
        <w:rPr>
          <w:rFonts w:ascii="Times New Roman" w:hAnsi="Times New Roman"/>
          <w:sz w:val="24"/>
          <w:szCs w:val="24"/>
          <w:lang w:val="en-US"/>
        </w:rPr>
        <w:t>adult</w:t>
      </w:r>
      <w:r w:rsidR="00E45273">
        <w:rPr>
          <w:rFonts w:ascii="Times New Roman" w:hAnsi="Times New Roman"/>
          <w:sz w:val="24"/>
          <w:szCs w:val="24"/>
          <w:lang w:val="en-US"/>
        </w:rPr>
        <w:t xml:space="preserve">s of the </w:t>
      </w:r>
      <w:r w:rsidRPr="0078198B">
        <w:rPr>
          <w:rFonts w:ascii="Times New Roman" w:hAnsi="Times New Roman"/>
          <w:sz w:val="24"/>
          <w:szCs w:val="24"/>
          <w:lang w:val="en-US"/>
        </w:rPr>
        <w:t>grey maize weevil in the control treatment (treated with tap water). The mean number of dead beetles in plots treated with both Naturalis application rates was significantly higher compared with the control, and these differences were statistically confirmed.</w:t>
      </w:r>
    </w:p>
    <w:p w:rsidR="0078198B" w:rsidRPr="0078198B" w:rsidRDefault="0078198B" w:rsidP="00BF6A3C">
      <w:pPr>
        <w:ind w:firstLine="567"/>
        <w:rPr>
          <w:rFonts w:ascii="Times New Roman" w:hAnsi="Times New Roman"/>
          <w:sz w:val="24"/>
          <w:szCs w:val="24"/>
          <w:lang w:val="en-US"/>
        </w:rPr>
      </w:pPr>
      <w:r w:rsidRPr="0078198B">
        <w:rPr>
          <w:rFonts w:ascii="Times New Roman" w:hAnsi="Times New Roman"/>
          <w:sz w:val="24"/>
          <w:szCs w:val="24"/>
          <w:lang w:val="en-US"/>
        </w:rPr>
        <w:t>The occurrence of mycosis was confirmed by the presence of a white fungal growth on dead insects several days after their placement on moist filter paper in clean Petri dishes at room temperature. On the other hand, the highest number of live beetles was recorded in the control treatment; however, statistical analysis did not reveal significant differences in the mean number of surviving beetles between the control and the Naturalis treatment at the rate of 200 ml/da.</w:t>
      </w:r>
    </w:p>
    <w:p w:rsidR="00E45273" w:rsidRDefault="00E45273" w:rsidP="0078198B">
      <w:pPr>
        <w:ind w:firstLine="0"/>
        <w:rPr>
          <w:rFonts w:ascii="Times New Roman" w:hAnsi="Times New Roman"/>
          <w:b/>
          <w:bCs/>
          <w:sz w:val="24"/>
          <w:szCs w:val="24"/>
          <w:lang w:val="en-US"/>
        </w:rPr>
      </w:pPr>
    </w:p>
    <w:p w:rsidR="0078198B" w:rsidRPr="0078198B" w:rsidRDefault="0078198B" w:rsidP="0078198B">
      <w:pPr>
        <w:ind w:firstLine="0"/>
        <w:rPr>
          <w:rFonts w:ascii="Times New Roman" w:hAnsi="Times New Roman"/>
          <w:b/>
          <w:bCs/>
          <w:sz w:val="24"/>
          <w:szCs w:val="24"/>
          <w:lang w:val="en-US"/>
        </w:rPr>
      </w:pPr>
      <w:r w:rsidRPr="0078198B">
        <w:rPr>
          <w:rFonts w:ascii="Times New Roman" w:hAnsi="Times New Roman"/>
          <w:b/>
          <w:bCs/>
          <w:sz w:val="24"/>
          <w:szCs w:val="24"/>
          <w:lang w:val="en-US"/>
        </w:rPr>
        <w:t xml:space="preserve">4.1.7. Effect of white oregano essential oil on adults of </w:t>
      </w:r>
      <w:r w:rsidRPr="0078198B">
        <w:rPr>
          <w:rFonts w:ascii="Times New Roman" w:hAnsi="Times New Roman"/>
          <w:b/>
          <w:bCs/>
          <w:i/>
          <w:iCs/>
          <w:sz w:val="24"/>
          <w:szCs w:val="24"/>
          <w:lang w:val="en-US"/>
        </w:rPr>
        <w:t>Tanymecus dilaticollis</w:t>
      </w:r>
      <w:r w:rsidRPr="0078198B">
        <w:rPr>
          <w:rFonts w:ascii="Times New Roman" w:hAnsi="Times New Roman"/>
          <w:b/>
          <w:bCs/>
          <w:sz w:val="24"/>
          <w:szCs w:val="24"/>
          <w:lang w:val="en-US"/>
        </w:rPr>
        <w:t xml:space="preserve"> under laboratory conditions</w:t>
      </w:r>
    </w:p>
    <w:p w:rsidR="0078198B" w:rsidRPr="0078198B" w:rsidRDefault="0078198B" w:rsidP="00BF6A3C">
      <w:pPr>
        <w:ind w:firstLine="567"/>
        <w:rPr>
          <w:rFonts w:ascii="Times New Roman" w:hAnsi="Times New Roman"/>
          <w:sz w:val="24"/>
          <w:szCs w:val="24"/>
          <w:lang w:val="en-US"/>
        </w:rPr>
      </w:pPr>
      <w:r w:rsidRPr="0078198B">
        <w:rPr>
          <w:rFonts w:ascii="Times New Roman" w:hAnsi="Times New Roman"/>
          <w:sz w:val="24"/>
          <w:szCs w:val="24"/>
          <w:lang w:val="en-US"/>
        </w:rPr>
        <w:t>In the experiment involving substrate treatment in Petri dishes, the mean mortality of experimental insects in the control treatment was 8%. In this experiment, 100% corrected mortality was observed within the first minutes after treatment with the highest essential oil concentration (10 µl/ml) (</w:t>
      </w:r>
      <w:r w:rsidRPr="00117EDD">
        <w:rPr>
          <w:rFonts w:ascii="Times New Roman" w:hAnsi="Times New Roman"/>
          <w:sz w:val="24"/>
          <w:szCs w:val="24"/>
          <w:lang w:val="en-US"/>
        </w:rPr>
        <w:t>Fig. 8</w:t>
      </w:r>
      <w:r w:rsidRPr="0078198B">
        <w:rPr>
          <w:rFonts w:ascii="Times New Roman" w:hAnsi="Times New Roman"/>
          <w:sz w:val="24"/>
          <w:szCs w:val="24"/>
          <w:lang w:val="en-US"/>
        </w:rPr>
        <w:t>). The concentration of 1 µl/ml was also effective, with mean corrected mortality ranging from 82% on the first day of the experiment to 91% at the end of the observation period.</w:t>
      </w:r>
    </w:p>
    <w:p w:rsidR="0078198B" w:rsidRPr="0078198B" w:rsidRDefault="0078198B" w:rsidP="0078198B">
      <w:pPr>
        <w:ind w:firstLine="706"/>
        <w:rPr>
          <w:rFonts w:ascii="Times New Roman" w:hAnsi="Times New Roman"/>
          <w:sz w:val="24"/>
          <w:szCs w:val="24"/>
          <w:lang w:val="en-US"/>
        </w:rPr>
      </w:pPr>
      <w:r w:rsidRPr="0078198B">
        <w:rPr>
          <w:rFonts w:ascii="Times New Roman" w:hAnsi="Times New Roman"/>
          <w:sz w:val="24"/>
          <w:szCs w:val="24"/>
          <w:lang w:val="en-US"/>
        </w:rPr>
        <w:lastRenderedPageBreak/>
        <w:t>At the lowest tested concentrations, the effect of the essential oil was relatively weak, with mean corrected mortality reaching 15–16% at the end of the observation period. At the end of the experiment, the calculated LC50 value was 0.14 µl/ml (95% CI: 0.013–1.21 µl/ml), whereas the LC90 value was 0.83 µl/ml (95% CI: 0.09–7.43 µl/ml).</w:t>
      </w:r>
    </w:p>
    <w:p w:rsidR="0029246B" w:rsidRPr="0029246B" w:rsidRDefault="0029246B" w:rsidP="0029246B">
      <w:pPr>
        <w:ind w:firstLine="706"/>
        <w:rPr>
          <w:rFonts w:ascii="Times New Roman" w:hAnsi="Times New Roman"/>
          <w:sz w:val="24"/>
          <w:szCs w:val="24"/>
          <w:lang w:eastAsia="bg-BG"/>
        </w:rPr>
      </w:pPr>
    </w:p>
    <w:p w:rsidR="0029246B" w:rsidRPr="0029246B" w:rsidRDefault="00686510" w:rsidP="0029246B">
      <w:pPr>
        <w:ind w:firstLine="0"/>
        <w:jc w:val="center"/>
        <w:rPr>
          <w:rFonts w:ascii="Times New Roman" w:hAnsi="Times New Roman"/>
          <w:b/>
          <w:sz w:val="24"/>
          <w:szCs w:val="24"/>
          <w:lang w:eastAsia="bg-BG"/>
        </w:rPr>
      </w:pPr>
      <w:r w:rsidRPr="00686510">
        <w:rPr>
          <w:rFonts w:ascii="Times New Roman" w:hAnsi="Times New Roman"/>
          <w:noProof/>
          <w:sz w:val="24"/>
          <w:szCs w:val="24"/>
          <w:lang w:val="en-US"/>
        </w:rPr>
        <w:drawing>
          <wp:inline distT="0" distB="0" distL="0" distR="0">
            <wp:extent cx="5166360" cy="2462530"/>
            <wp:effectExtent l="0" t="0" r="0" b="0"/>
            <wp:docPr id="11" name="Диаграма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130728" w:rsidRPr="0078198B" w:rsidRDefault="0078198B" w:rsidP="00130728">
      <w:pPr>
        <w:spacing w:before="100" w:beforeAutospacing="1" w:after="100" w:afterAutospacing="1" w:line="240" w:lineRule="auto"/>
        <w:ind w:firstLine="0"/>
        <w:jc w:val="left"/>
        <w:rPr>
          <w:rFonts w:cs="Calibri"/>
          <w:sz w:val="24"/>
          <w:szCs w:val="24"/>
          <w:lang w:val="en-US"/>
        </w:rPr>
      </w:pPr>
      <w:r w:rsidRPr="0078198B">
        <w:rPr>
          <w:rFonts w:cs="Calibri"/>
          <w:b/>
          <w:bCs/>
          <w:sz w:val="24"/>
          <w:szCs w:val="24"/>
          <w:lang w:val="en-US"/>
        </w:rPr>
        <w:t>Fig. 8</w:t>
      </w:r>
      <w:r w:rsidR="00130728" w:rsidRPr="0078198B">
        <w:rPr>
          <w:rFonts w:cs="Calibri"/>
          <w:b/>
          <w:bCs/>
          <w:sz w:val="24"/>
          <w:szCs w:val="24"/>
          <w:lang w:val="en-US"/>
        </w:rPr>
        <w:t>.</w:t>
      </w:r>
      <w:r w:rsidR="00130728" w:rsidRPr="0078198B">
        <w:rPr>
          <w:rFonts w:cs="Calibri"/>
          <w:sz w:val="24"/>
          <w:szCs w:val="24"/>
          <w:lang w:val="en-US"/>
        </w:rPr>
        <w:t xml:space="preserve"> Lethal effect of white oregano essential oil on adult </w:t>
      </w:r>
      <w:r w:rsidR="00130728" w:rsidRPr="0078198B">
        <w:rPr>
          <w:rFonts w:cs="Calibri"/>
          <w:i/>
          <w:iCs/>
          <w:sz w:val="24"/>
          <w:szCs w:val="24"/>
          <w:lang w:val="en-US"/>
        </w:rPr>
        <w:t>Tanymecus dilaticollis</w:t>
      </w:r>
      <w:r w:rsidR="00130728" w:rsidRPr="0078198B">
        <w:rPr>
          <w:rFonts w:cs="Calibri"/>
          <w:sz w:val="24"/>
          <w:szCs w:val="24"/>
          <w:lang w:val="en-US"/>
        </w:rPr>
        <w:t xml:space="preserve"> at different concentrations in a Petri dish bioassay.</w:t>
      </w:r>
    </w:p>
    <w:p w:rsidR="005B6B16" w:rsidRPr="005B6B16" w:rsidRDefault="005B6B16" w:rsidP="005B6B16">
      <w:pPr>
        <w:ind w:firstLine="567"/>
        <w:rPr>
          <w:rFonts w:ascii="Times New Roman" w:hAnsi="Times New Roman"/>
          <w:sz w:val="24"/>
          <w:szCs w:val="24"/>
          <w:lang w:val="en-US"/>
        </w:rPr>
      </w:pPr>
      <w:r w:rsidRPr="005B6B16">
        <w:rPr>
          <w:rFonts w:ascii="Times New Roman" w:hAnsi="Times New Roman"/>
          <w:sz w:val="24"/>
          <w:szCs w:val="24"/>
          <w:lang w:val="en-US"/>
        </w:rPr>
        <w:t>In the experiment involving individual insect treatment, the mean mortality in the control treatment was 5%. High insecticidal activity was observed only at the highest tested concentration, which resulted in 88% mortality at the end of the experiment (</w:t>
      </w:r>
      <w:r w:rsidRPr="00117EDD">
        <w:rPr>
          <w:rFonts w:ascii="Times New Roman" w:hAnsi="Times New Roman"/>
          <w:sz w:val="24"/>
          <w:szCs w:val="24"/>
          <w:lang w:val="en-US"/>
        </w:rPr>
        <w:t>Fig. 9</w:t>
      </w:r>
      <w:r w:rsidRPr="005B6B16">
        <w:rPr>
          <w:rFonts w:ascii="Times New Roman" w:hAnsi="Times New Roman"/>
          <w:sz w:val="24"/>
          <w:szCs w:val="24"/>
          <w:lang w:val="en-US"/>
        </w:rPr>
        <w:t>). It is important to note that mortality of the majority of insects in this treatment occurred within half an hour after application.</w:t>
      </w:r>
    </w:p>
    <w:p w:rsidR="005B6B16" w:rsidRPr="005B6B16" w:rsidRDefault="005B6B16" w:rsidP="005B6B16">
      <w:pPr>
        <w:ind w:firstLine="567"/>
        <w:rPr>
          <w:rFonts w:ascii="Times New Roman" w:hAnsi="Times New Roman"/>
          <w:sz w:val="24"/>
          <w:szCs w:val="24"/>
          <w:lang w:val="en-US"/>
        </w:rPr>
      </w:pPr>
      <w:r w:rsidRPr="005B6B16">
        <w:rPr>
          <w:rFonts w:ascii="Times New Roman" w:hAnsi="Times New Roman"/>
          <w:sz w:val="24"/>
          <w:szCs w:val="24"/>
          <w:lang w:val="en-US"/>
        </w:rPr>
        <w:t>At the other tested concentrations, mortality remained low on the tenth day after treatment, reaching 17% at the concentration of 1 µl/ml and 9% at the two lowest concentrations. On the tenth day, the calculated LC</w:t>
      </w:r>
      <w:r w:rsidRPr="00BF6A3C">
        <w:rPr>
          <w:rFonts w:ascii="Times New Roman" w:hAnsi="Times New Roman"/>
          <w:sz w:val="24"/>
          <w:szCs w:val="24"/>
          <w:vertAlign w:val="subscript"/>
          <w:lang w:val="en-US"/>
        </w:rPr>
        <w:t>50</w:t>
      </w:r>
      <w:r w:rsidRPr="005B6B16">
        <w:rPr>
          <w:rFonts w:ascii="Times New Roman" w:hAnsi="Times New Roman"/>
          <w:sz w:val="24"/>
          <w:szCs w:val="24"/>
          <w:lang w:val="en-US"/>
        </w:rPr>
        <w:t xml:space="preserve"> and LC</w:t>
      </w:r>
      <w:r w:rsidRPr="00BF6A3C">
        <w:rPr>
          <w:rFonts w:ascii="Times New Roman" w:hAnsi="Times New Roman"/>
          <w:sz w:val="24"/>
          <w:szCs w:val="24"/>
          <w:vertAlign w:val="subscript"/>
          <w:lang w:val="en-US"/>
        </w:rPr>
        <w:t>90</w:t>
      </w:r>
      <w:r w:rsidRPr="005B6B16">
        <w:rPr>
          <w:rFonts w:ascii="Times New Roman" w:hAnsi="Times New Roman"/>
          <w:sz w:val="24"/>
          <w:szCs w:val="24"/>
          <w:lang w:val="en-US"/>
        </w:rPr>
        <w:t xml:space="preserve"> values were 1.14 µl/ml (95% CI: 0.022–49.35 µl/ml) and 16.42 µl/ml (95% CI: 0.38–713.71 µl/ml), respectively.</w:t>
      </w:r>
    </w:p>
    <w:p w:rsidR="0029246B" w:rsidRPr="0029246B" w:rsidRDefault="00686510" w:rsidP="0029246B">
      <w:pPr>
        <w:spacing w:line="240" w:lineRule="auto"/>
        <w:ind w:firstLine="567"/>
        <w:jc w:val="left"/>
        <w:rPr>
          <w:rFonts w:ascii="Calibri" w:hAnsi="Calibri"/>
          <w:b/>
          <w:sz w:val="24"/>
          <w:szCs w:val="24"/>
          <w:lang w:val="en-US" w:eastAsia="bg-BG"/>
        </w:rPr>
      </w:pPr>
      <w:r w:rsidRPr="00686510">
        <w:rPr>
          <w:rFonts w:ascii="Times New Roman" w:hAnsi="Times New Roman"/>
          <w:noProof/>
          <w:sz w:val="24"/>
          <w:szCs w:val="24"/>
          <w:lang w:val="en-US"/>
        </w:rPr>
        <w:lastRenderedPageBreak/>
        <w:drawing>
          <wp:inline distT="0" distB="0" distL="0" distR="0">
            <wp:extent cx="5166360" cy="2575560"/>
            <wp:effectExtent l="0" t="0" r="0" b="0"/>
            <wp:docPr id="12" name="Диаграма 2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0029246B" w:rsidRPr="0029246B">
        <w:rPr>
          <w:rFonts w:ascii="Calibri" w:hAnsi="Calibri"/>
          <w:b/>
          <w:sz w:val="24"/>
          <w:szCs w:val="24"/>
          <w:lang w:eastAsia="bg-BG"/>
        </w:rPr>
        <w:t xml:space="preserve"> </w:t>
      </w:r>
    </w:p>
    <w:p w:rsidR="00130728" w:rsidRDefault="005B6B16" w:rsidP="00130728">
      <w:pPr>
        <w:spacing w:before="100" w:beforeAutospacing="1" w:after="100" w:afterAutospacing="1" w:line="240" w:lineRule="auto"/>
        <w:ind w:firstLine="0"/>
        <w:jc w:val="left"/>
        <w:rPr>
          <w:rFonts w:cs="Calibri"/>
          <w:sz w:val="24"/>
          <w:szCs w:val="24"/>
          <w:lang w:val="en-US"/>
        </w:rPr>
      </w:pPr>
      <w:r w:rsidRPr="005B6B16">
        <w:rPr>
          <w:rFonts w:cs="Calibri"/>
          <w:b/>
          <w:bCs/>
          <w:sz w:val="24"/>
          <w:szCs w:val="24"/>
          <w:lang w:val="en-US"/>
        </w:rPr>
        <w:t>Fig. 9</w:t>
      </w:r>
      <w:r w:rsidR="00130728" w:rsidRPr="005B6B16">
        <w:rPr>
          <w:rFonts w:cs="Calibri"/>
          <w:b/>
          <w:bCs/>
          <w:sz w:val="24"/>
          <w:szCs w:val="24"/>
          <w:lang w:val="en-US"/>
        </w:rPr>
        <w:t>.</w:t>
      </w:r>
      <w:r w:rsidR="00130728" w:rsidRPr="005B6B16">
        <w:rPr>
          <w:rFonts w:cs="Calibri"/>
          <w:sz w:val="24"/>
          <w:szCs w:val="24"/>
          <w:lang w:val="en-US"/>
        </w:rPr>
        <w:t xml:space="preserve"> Lethal effect of white oregano essential oil at different concentrations following direct topical application to individual adult </w:t>
      </w:r>
      <w:r w:rsidR="00130728" w:rsidRPr="005B6B16">
        <w:rPr>
          <w:rFonts w:cs="Calibri"/>
          <w:i/>
          <w:iCs/>
          <w:sz w:val="24"/>
          <w:szCs w:val="24"/>
          <w:lang w:val="en-US"/>
        </w:rPr>
        <w:t>Tanymecus dilaticollis</w:t>
      </w:r>
      <w:r w:rsidR="00130728" w:rsidRPr="005B6B16">
        <w:rPr>
          <w:rFonts w:cs="Calibri"/>
          <w:sz w:val="24"/>
          <w:szCs w:val="24"/>
          <w:lang w:val="en-US"/>
        </w:rPr>
        <w:t>, with insects maintained in mesh-covered containers.</w:t>
      </w:r>
    </w:p>
    <w:p w:rsidR="005B6B16" w:rsidRPr="005B6B16" w:rsidRDefault="005B6B16" w:rsidP="00BF6A3C">
      <w:pPr>
        <w:spacing w:before="100" w:beforeAutospacing="1" w:after="100" w:afterAutospacing="1"/>
        <w:ind w:firstLine="567"/>
        <w:rPr>
          <w:rFonts w:ascii="Times New Roman" w:hAnsi="Times New Roman"/>
          <w:sz w:val="24"/>
          <w:szCs w:val="24"/>
          <w:lang w:val="en-US"/>
        </w:rPr>
      </w:pPr>
      <w:r w:rsidRPr="005B6B16">
        <w:rPr>
          <w:rFonts w:ascii="Times New Roman" w:hAnsi="Times New Roman"/>
          <w:sz w:val="24"/>
          <w:szCs w:val="24"/>
          <w:lang w:val="en-US"/>
        </w:rPr>
        <w:t>In both experiments, the lowest mean lethal time (LT</w:t>
      </w:r>
      <w:r w:rsidRPr="00BF6A3C">
        <w:rPr>
          <w:rFonts w:ascii="Times New Roman" w:hAnsi="Times New Roman"/>
          <w:sz w:val="24"/>
          <w:szCs w:val="24"/>
          <w:vertAlign w:val="subscript"/>
          <w:lang w:val="en-US"/>
        </w:rPr>
        <w:t>50</w:t>
      </w:r>
      <w:r w:rsidRPr="005B6B16">
        <w:rPr>
          <w:rFonts w:ascii="Times New Roman" w:hAnsi="Times New Roman"/>
          <w:sz w:val="24"/>
          <w:szCs w:val="24"/>
          <w:lang w:val="en-US"/>
        </w:rPr>
        <w:t>) was achieved at the two highest tested concentrations of essential oil. In the experiment involving treatment of filter paper in Petri dishes, the LT</w:t>
      </w:r>
      <w:r w:rsidRPr="00E53EFF">
        <w:rPr>
          <w:rFonts w:ascii="Times New Roman" w:hAnsi="Times New Roman"/>
          <w:sz w:val="24"/>
          <w:szCs w:val="24"/>
          <w:vertAlign w:val="subscript"/>
          <w:lang w:val="en-US"/>
        </w:rPr>
        <w:t>50</w:t>
      </w:r>
      <w:r w:rsidRPr="005B6B16">
        <w:rPr>
          <w:rFonts w:ascii="Times New Roman" w:hAnsi="Times New Roman"/>
          <w:sz w:val="24"/>
          <w:szCs w:val="24"/>
          <w:lang w:val="en-US"/>
        </w:rPr>
        <w:t xml:space="preserve"> value at a concentration of 1 µl/ml was reached after only 28 min, whereas in the experiment involving direct application to insects, the LT</w:t>
      </w:r>
      <w:r w:rsidRPr="00BF6A3C">
        <w:rPr>
          <w:rFonts w:ascii="Times New Roman" w:hAnsi="Times New Roman"/>
          <w:sz w:val="24"/>
          <w:szCs w:val="24"/>
          <w:vertAlign w:val="subscript"/>
          <w:lang w:val="en-US"/>
        </w:rPr>
        <w:t>50</w:t>
      </w:r>
      <w:r w:rsidRPr="005B6B16">
        <w:rPr>
          <w:rFonts w:ascii="Times New Roman" w:hAnsi="Times New Roman"/>
          <w:sz w:val="24"/>
          <w:szCs w:val="24"/>
          <w:lang w:val="en-US"/>
        </w:rPr>
        <w:t xml:space="preserve"> value at the highest concentration (10 µl/ml) was 173 min.</w:t>
      </w:r>
    </w:p>
    <w:p w:rsidR="005B6B16" w:rsidRPr="005B6B16" w:rsidRDefault="005B6B16" w:rsidP="005B6B16">
      <w:pPr>
        <w:spacing w:before="100" w:beforeAutospacing="1" w:after="100" w:afterAutospacing="1" w:line="240" w:lineRule="auto"/>
        <w:ind w:firstLine="0"/>
        <w:jc w:val="left"/>
        <w:outlineLvl w:val="2"/>
        <w:rPr>
          <w:rFonts w:ascii="Times New Roman" w:hAnsi="Times New Roman"/>
          <w:b/>
          <w:bCs/>
          <w:sz w:val="24"/>
          <w:szCs w:val="24"/>
          <w:lang w:val="en-US"/>
        </w:rPr>
      </w:pPr>
      <w:r w:rsidRPr="005B6B16">
        <w:rPr>
          <w:rFonts w:ascii="Times New Roman" w:hAnsi="Times New Roman"/>
          <w:b/>
          <w:bCs/>
          <w:sz w:val="24"/>
          <w:szCs w:val="24"/>
          <w:lang w:val="en-US"/>
        </w:rPr>
        <w:t>4.1.8. Effect of white oregano essential oil on maize under laboratory conditions</w:t>
      </w:r>
    </w:p>
    <w:p w:rsidR="005B6B16" w:rsidRPr="005B6B16" w:rsidRDefault="005B6B16" w:rsidP="00BF6A3C">
      <w:pPr>
        <w:spacing w:before="100" w:beforeAutospacing="1" w:after="100" w:afterAutospacing="1"/>
        <w:ind w:firstLine="567"/>
        <w:rPr>
          <w:rFonts w:ascii="Times New Roman" w:hAnsi="Times New Roman"/>
          <w:sz w:val="24"/>
          <w:szCs w:val="24"/>
          <w:lang w:val="en-US"/>
        </w:rPr>
      </w:pPr>
      <w:r w:rsidRPr="005B6B16">
        <w:rPr>
          <w:rFonts w:ascii="Times New Roman" w:hAnsi="Times New Roman"/>
          <w:sz w:val="24"/>
          <w:szCs w:val="24"/>
          <w:lang w:val="en-US"/>
        </w:rPr>
        <w:t>Maize plants treated with the highest concentration of white oregano essential oil (100 μl/ml) exhibited pronounced phytotoxic symptoms. Approximately 3 hours after treatment, browning of the leaves was observed, and by the fourth day of observation all plants had completely died.</w:t>
      </w:r>
      <w:r>
        <w:rPr>
          <w:rFonts w:ascii="Times New Roman" w:hAnsi="Times New Roman"/>
          <w:sz w:val="24"/>
          <w:szCs w:val="24"/>
        </w:rPr>
        <w:t xml:space="preserve"> </w:t>
      </w:r>
      <w:r w:rsidRPr="005B6B16">
        <w:rPr>
          <w:rFonts w:ascii="Times New Roman" w:hAnsi="Times New Roman"/>
          <w:sz w:val="24"/>
          <w:szCs w:val="24"/>
          <w:lang w:val="en-US"/>
        </w:rPr>
        <w:t>Following treatment with the 10 μl/ml concentration of essential oil, slight damage symptoms were observed in 66% of the plants during the first three days (score 1). However, by the fourth day the plants had fully recovered and showed no further signs of phytotoxicity, with normal development similar to plants treated with distilled water.</w:t>
      </w:r>
      <w:r>
        <w:rPr>
          <w:rFonts w:ascii="Times New Roman" w:hAnsi="Times New Roman"/>
          <w:sz w:val="24"/>
          <w:szCs w:val="24"/>
        </w:rPr>
        <w:t xml:space="preserve"> </w:t>
      </w:r>
      <w:r w:rsidRPr="005B6B16">
        <w:rPr>
          <w:rFonts w:ascii="Times New Roman" w:hAnsi="Times New Roman"/>
          <w:sz w:val="24"/>
          <w:szCs w:val="24"/>
          <w:lang w:val="en-US"/>
        </w:rPr>
        <w:t>During the ten-day observation period, no phytotoxic symptoms were detected in maize plants treated with essential oil concentrations of 0.1 μl/ml and 1 μl/ml, as well as in the control treatments (distilled water, distilled water with Tween) and the Mospilan 20 SP treatment.</w:t>
      </w:r>
    </w:p>
    <w:p w:rsidR="005B6B16" w:rsidRPr="005B6B16" w:rsidRDefault="005B6B16" w:rsidP="005B6B16">
      <w:pPr>
        <w:spacing w:before="100" w:beforeAutospacing="1" w:after="100" w:afterAutospacing="1" w:line="240" w:lineRule="auto"/>
        <w:ind w:firstLine="0"/>
        <w:jc w:val="left"/>
        <w:outlineLvl w:val="2"/>
        <w:rPr>
          <w:rFonts w:ascii="Times New Roman" w:hAnsi="Times New Roman"/>
          <w:b/>
          <w:bCs/>
          <w:sz w:val="24"/>
          <w:szCs w:val="24"/>
          <w:lang w:val="en-US"/>
        </w:rPr>
      </w:pPr>
      <w:r w:rsidRPr="005B6B16">
        <w:rPr>
          <w:rFonts w:ascii="Times New Roman" w:hAnsi="Times New Roman"/>
          <w:b/>
          <w:bCs/>
          <w:sz w:val="24"/>
          <w:szCs w:val="24"/>
          <w:lang w:val="en-US"/>
        </w:rPr>
        <w:lastRenderedPageBreak/>
        <w:t>4.1.9. Effect of white oregano essential oil on maize under field conditions</w:t>
      </w:r>
    </w:p>
    <w:p w:rsidR="005B6B16" w:rsidRPr="005B6B16" w:rsidRDefault="005B6B16" w:rsidP="00BF6A3C">
      <w:pPr>
        <w:spacing w:before="100" w:beforeAutospacing="1" w:after="100" w:afterAutospacing="1"/>
        <w:ind w:firstLine="567"/>
        <w:rPr>
          <w:rFonts w:ascii="Times New Roman" w:hAnsi="Times New Roman"/>
          <w:sz w:val="24"/>
          <w:szCs w:val="24"/>
          <w:lang w:val="en-US"/>
        </w:rPr>
      </w:pPr>
      <w:r w:rsidRPr="005B6B16">
        <w:rPr>
          <w:rFonts w:ascii="Times New Roman" w:hAnsi="Times New Roman"/>
          <w:sz w:val="24"/>
          <w:szCs w:val="24"/>
          <w:lang w:val="en-US"/>
        </w:rPr>
        <w:t>Under field conditions, maize plants in the control treatments did not exhibit any symptoms of phytotoxic effects during the ten-day observation period. Leaves of plants treated with the 100 μl/ml concentration showed browning approximately 6 hours after essential oil application; however, they gradually recovered and by the eighth day of observation showed no visible damage symptoms and developed similarly to plants in the control treatments.</w:t>
      </w:r>
      <w:r>
        <w:rPr>
          <w:rFonts w:ascii="Times New Roman" w:hAnsi="Times New Roman"/>
          <w:sz w:val="24"/>
          <w:szCs w:val="24"/>
        </w:rPr>
        <w:t xml:space="preserve"> </w:t>
      </w:r>
      <w:r w:rsidRPr="005B6B16">
        <w:rPr>
          <w:rFonts w:ascii="Times New Roman" w:hAnsi="Times New Roman"/>
          <w:sz w:val="24"/>
          <w:szCs w:val="24"/>
          <w:lang w:val="en-US"/>
        </w:rPr>
        <w:t>Mild phytotoxic symptoms were also recorded at the 10 μl/ml concentration, but the plants fully recovered by the third day. In all other treatments, plants remained healthy and developed normally.</w:t>
      </w:r>
    </w:p>
    <w:p w:rsidR="005B6B16" w:rsidRPr="005B6B16" w:rsidRDefault="005B6B16" w:rsidP="005B6B16">
      <w:pPr>
        <w:spacing w:before="100" w:beforeAutospacing="1" w:after="100" w:afterAutospacing="1" w:line="240" w:lineRule="auto"/>
        <w:ind w:firstLine="0"/>
        <w:jc w:val="left"/>
        <w:outlineLvl w:val="2"/>
        <w:rPr>
          <w:rFonts w:ascii="Times New Roman" w:hAnsi="Times New Roman"/>
          <w:b/>
          <w:bCs/>
          <w:sz w:val="24"/>
          <w:szCs w:val="24"/>
          <w:lang w:val="en-US"/>
        </w:rPr>
      </w:pPr>
      <w:r w:rsidRPr="005B6B16">
        <w:rPr>
          <w:rFonts w:ascii="Times New Roman" w:hAnsi="Times New Roman"/>
          <w:b/>
          <w:bCs/>
          <w:sz w:val="24"/>
          <w:szCs w:val="24"/>
          <w:lang w:val="en-US"/>
        </w:rPr>
        <w:t>4.1.10. Effect of entomopathogenic nematode products under field conditions</w:t>
      </w:r>
    </w:p>
    <w:p w:rsidR="005B6B16" w:rsidRPr="005B6B16" w:rsidRDefault="005B6B16" w:rsidP="00BF6A3C">
      <w:pPr>
        <w:spacing w:before="100" w:beforeAutospacing="1" w:after="100" w:afterAutospacing="1"/>
        <w:ind w:firstLine="567"/>
        <w:rPr>
          <w:rFonts w:ascii="Times New Roman" w:hAnsi="Times New Roman"/>
          <w:sz w:val="24"/>
          <w:szCs w:val="24"/>
          <w:lang w:val="en-US"/>
        </w:rPr>
      </w:pPr>
      <w:r w:rsidRPr="005B6B16">
        <w:rPr>
          <w:rFonts w:ascii="Times New Roman" w:hAnsi="Times New Roman"/>
          <w:b/>
          <w:bCs/>
          <w:sz w:val="24"/>
          <w:szCs w:val="24"/>
          <w:lang w:val="en-US"/>
        </w:rPr>
        <w:t>Open-field experiments:</w:t>
      </w:r>
      <w:r>
        <w:rPr>
          <w:rFonts w:ascii="Times New Roman" w:hAnsi="Times New Roman"/>
          <w:sz w:val="24"/>
          <w:szCs w:val="24"/>
          <w:lang w:val="en-US"/>
        </w:rPr>
        <w:t xml:space="preserve"> </w:t>
      </w:r>
      <w:r w:rsidRPr="005B6B16">
        <w:rPr>
          <w:rFonts w:ascii="Times New Roman" w:hAnsi="Times New Roman"/>
          <w:sz w:val="24"/>
          <w:szCs w:val="24"/>
          <w:lang w:val="en-US"/>
        </w:rPr>
        <w:t xml:space="preserve">A significant difference was established between the mean number of weevils in plots with seeds treated with Gaucho 600 FS/Nemastar® and those with biologically treated seeds, either with or without entomopathogenic nematodes. After the second nematode application, the analysis did not show significant differences in adult abundance (Kruskal–Wallis test, </w:t>
      </w:r>
      <w:r w:rsidRPr="005B6B16">
        <w:rPr>
          <w:rFonts w:ascii="Times New Roman" w:hAnsi="Times New Roman"/>
          <w:i/>
          <w:iCs/>
          <w:sz w:val="24"/>
          <w:szCs w:val="24"/>
          <w:lang w:val="en-US"/>
        </w:rPr>
        <w:t>P</w:t>
      </w:r>
      <w:r w:rsidRPr="005B6B16">
        <w:rPr>
          <w:rFonts w:ascii="Times New Roman" w:hAnsi="Times New Roman"/>
          <w:sz w:val="24"/>
          <w:szCs w:val="24"/>
          <w:lang w:val="en-US"/>
        </w:rPr>
        <w:t xml:space="preserve"> = 0.07).</w:t>
      </w:r>
      <w:r>
        <w:rPr>
          <w:rFonts w:ascii="Times New Roman" w:hAnsi="Times New Roman"/>
          <w:sz w:val="24"/>
          <w:szCs w:val="24"/>
        </w:rPr>
        <w:t xml:space="preserve"> </w:t>
      </w:r>
      <w:r w:rsidRPr="005B6B16">
        <w:rPr>
          <w:rFonts w:ascii="Times New Roman" w:hAnsi="Times New Roman"/>
          <w:sz w:val="24"/>
          <w:szCs w:val="24"/>
          <w:lang w:val="en-US"/>
        </w:rPr>
        <w:t xml:space="preserve">The total number of dead adult </w:t>
      </w:r>
      <w:r w:rsidRPr="005B6B16">
        <w:rPr>
          <w:rFonts w:ascii="Times New Roman" w:hAnsi="Times New Roman"/>
          <w:i/>
          <w:iCs/>
          <w:sz w:val="24"/>
          <w:szCs w:val="24"/>
          <w:lang w:val="en-US"/>
        </w:rPr>
        <w:t>T. dilaticollis</w:t>
      </w:r>
      <w:r w:rsidRPr="005B6B16">
        <w:rPr>
          <w:rFonts w:ascii="Times New Roman" w:hAnsi="Times New Roman"/>
          <w:sz w:val="24"/>
          <w:szCs w:val="24"/>
          <w:lang w:val="en-US"/>
        </w:rPr>
        <w:t xml:space="preserve"> individuals was 34, with 62% found in plots with seeds treated with Gaucho 600 FS and subsequently treated with Nemastar®, followed by 26% in plots with seeds treated with Naturalis and treated with Nemastar®. Only two dead specimens were found in each control plot.</w:t>
      </w:r>
      <w:r>
        <w:rPr>
          <w:rFonts w:ascii="Times New Roman" w:hAnsi="Times New Roman"/>
          <w:sz w:val="24"/>
          <w:szCs w:val="24"/>
        </w:rPr>
        <w:t xml:space="preserve"> </w:t>
      </w:r>
      <w:r w:rsidRPr="005B6B16">
        <w:rPr>
          <w:rFonts w:ascii="Times New Roman" w:hAnsi="Times New Roman"/>
          <w:sz w:val="24"/>
          <w:szCs w:val="24"/>
          <w:lang w:val="en-US"/>
        </w:rPr>
        <w:t xml:space="preserve">After the second nematode application, during the period 19 May–3 June 2022, a total of 69 live and 10 dead adult grey maize weevils were recorded. The number of live weevils was similar (11–12 individuals; 0.4–0.5 weevils/m²), regardless of the </w:t>
      </w:r>
      <w:r w:rsidR="00B051DF">
        <w:rPr>
          <w:rFonts w:ascii="Times New Roman" w:hAnsi="Times New Roman"/>
          <w:sz w:val="24"/>
          <w:szCs w:val="24"/>
          <w:lang w:val="en-US"/>
        </w:rPr>
        <w:t xml:space="preserve">seed </w:t>
      </w:r>
      <w:r w:rsidRPr="005B6B16">
        <w:rPr>
          <w:rFonts w:ascii="Times New Roman" w:hAnsi="Times New Roman"/>
          <w:sz w:val="24"/>
          <w:szCs w:val="24"/>
          <w:lang w:val="en-US"/>
        </w:rPr>
        <w:t xml:space="preserve">treatment type. Dead weevils were recorded only in plots treated with </w:t>
      </w:r>
      <w:r w:rsidRPr="005B6B16">
        <w:rPr>
          <w:rFonts w:ascii="Times New Roman" w:hAnsi="Times New Roman"/>
          <w:i/>
          <w:iCs/>
          <w:sz w:val="24"/>
          <w:szCs w:val="24"/>
          <w:lang w:val="en-US"/>
        </w:rPr>
        <w:t>S. carpocapsae</w:t>
      </w:r>
      <w:r w:rsidR="008D1D5A">
        <w:rPr>
          <w:rFonts w:ascii="Times New Roman" w:hAnsi="Times New Roman"/>
          <w:sz w:val="24"/>
          <w:szCs w:val="24"/>
          <w:lang w:val="en-US"/>
        </w:rPr>
        <w:t xml:space="preserve"> - </w:t>
      </w:r>
      <w:r w:rsidRPr="005B6B16">
        <w:rPr>
          <w:rFonts w:ascii="Times New Roman" w:hAnsi="Times New Roman"/>
          <w:sz w:val="24"/>
          <w:szCs w:val="24"/>
          <w:lang w:val="en-US"/>
        </w:rPr>
        <w:t>40% in plots with biological seed treatment and 60% in plots with chemical seed treatment.</w:t>
      </w:r>
      <w:r>
        <w:rPr>
          <w:rFonts w:ascii="Times New Roman" w:hAnsi="Times New Roman"/>
          <w:sz w:val="24"/>
          <w:szCs w:val="24"/>
        </w:rPr>
        <w:t xml:space="preserve"> </w:t>
      </w:r>
      <w:r w:rsidRPr="005B6B16">
        <w:rPr>
          <w:rFonts w:ascii="Times New Roman" w:hAnsi="Times New Roman"/>
          <w:sz w:val="24"/>
          <w:szCs w:val="24"/>
          <w:lang w:val="en-US"/>
        </w:rPr>
        <w:t>Entomopathogenic nematodes were detected only in single dead specimens collected from nematode-treated plots on 16, 20 and 23 May 2022.</w:t>
      </w:r>
    </w:p>
    <w:p w:rsidR="005B6B16" w:rsidRPr="005B6B16" w:rsidRDefault="005B6B16" w:rsidP="00262BB4">
      <w:pPr>
        <w:rPr>
          <w:rFonts w:ascii="Times New Roman" w:hAnsi="Times New Roman"/>
          <w:sz w:val="24"/>
          <w:szCs w:val="24"/>
          <w:lang w:val="en-US"/>
        </w:rPr>
      </w:pPr>
      <w:r w:rsidRPr="005B6B16">
        <w:rPr>
          <w:rFonts w:ascii="Times New Roman" w:hAnsi="Times New Roman"/>
          <w:b/>
          <w:bCs/>
          <w:sz w:val="24"/>
          <w:szCs w:val="24"/>
          <w:lang w:val="en-US"/>
        </w:rPr>
        <w:t>Semi-field experiments in cages (isolators):</w:t>
      </w:r>
      <w:r>
        <w:rPr>
          <w:rFonts w:ascii="Times New Roman" w:hAnsi="Times New Roman"/>
          <w:sz w:val="24"/>
          <w:szCs w:val="24"/>
          <w:lang w:val="en-US"/>
        </w:rPr>
        <w:t xml:space="preserve"> </w:t>
      </w:r>
      <w:r w:rsidRPr="005B6B16">
        <w:rPr>
          <w:rFonts w:ascii="Times New Roman" w:hAnsi="Times New Roman"/>
          <w:sz w:val="24"/>
          <w:szCs w:val="24"/>
          <w:lang w:val="en-US"/>
        </w:rPr>
        <w:t>In semi-field tests, the number of surviving weevils varied, but the mean number was similar regardless of treatment. After the first application, only individual dead specimens were observed. In cages treated with Nemastar®, dead adults appeared from the first day, whereas in control cages only two dead specimens were recorded, on 12 and 16 May 2022, respectively.</w:t>
      </w:r>
      <w:r>
        <w:rPr>
          <w:rFonts w:ascii="Times New Roman" w:hAnsi="Times New Roman"/>
          <w:sz w:val="24"/>
          <w:szCs w:val="24"/>
        </w:rPr>
        <w:t xml:space="preserve"> </w:t>
      </w:r>
      <w:r w:rsidRPr="005B6B16">
        <w:rPr>
          <w:rFonts w:ascii="Times New Roman" w:hAnsi="Times New Roman"/>
          <w:sz w:val="24"/>
          <w:szCs w:val="24"/>
          <w:lang w:val="en-US"/>
        </w:rPr>
        <w:t xml:space="preserve">In the second experiment, the number of live </w:t>
      </w:r>
      <w:r w:rsidRPr="005B6B16">
        <w:rPr>
          <w:rFonts w:ascii="Times New Roman" w:hAnsi="Times New Roman"/>
          <w:i/>
          <w:iCs/>
          <w:sz w:val="24"/>
          <w:szCs w:val="24"/>
          <w:lang w:val="en-US"/>
        </w:rPr>
        <w:t>T. dilaticollis</w:t>
      </w:r>
      <w:r w:rsidRPr="005B6B16">
        <w:rPr>
          <w:rFonts w:ascii="Times New Roman" w:hAnsi="Times New Roman"/>
          <w:sz w:val="24"/>
          <w:szCs w:val="24"/>
          <w:lang w:val="en-US"/>
        </w:rPr>
        <w:t xml:space="preserve"> individuals decreased over time—from 14–18 individuals at the beginning of the </w:t>
      </w:r>
      <w:r w:rsidRPr="005B6B16">
        <w:rPr>
          <w:rFonts w:ascii="Times New Roman" w:hAnsi="Times New Roman"/>
          <w:sz w:val="24"/>
          <w:szCs w:val="24"/>
          <w:lang w:val="en-US"/>
        </w:rPr>
        <w:lastRenderedPageBreak/>
        <w:t>experiment (20 May 2022) to 1–6 weevils at the end of the observation period (10 June 2022). Mortality of experimental individuals in cages treated with Nemastar® was low</w:t>
      </w:r>
      <w:r w:rsidR="008D1D5A">
        <w:rPr>
          <w:rFonts w:ascii="Times New Roman" w:hAnsi="Times New Roman"/>
          <w:sz w:val="24"/>
          <w:szCs w:val="24"/>
          <w:lang w:val="en-US"/>
        </w:rPr>
        <w:t xml:space="preserve"> -</w:t>
      </w:r>
      <w:r w:rsidRPr="005B6B16">
        <w:rPr>
          <w:rFonts w:ascii="Times New Roman" w:hAnsi="Times New Roman"/>
          <w:sz w:val="24"/>
          <w:szCs w:val="24"/>
          <w:lang w:val="en-US"/>
        </w:rPr>
        <w:t>14% in Experiment 1 and 18% in Experiment 2</w:t>
      </w:r>
      <w:r w:rsidR="008D1D5A">
        <w:rPr>
          <w:rFonts w:ascii="Times New Roman" w:hAnsi="Times New Roman"/>
          <w:sz w:val="24"/>
          <w:szCs w:val="24"/>
          <w:lang w:val="en-US"/>
        </w:rPr>
        <w:t xml:space="preserve"> </w:t>
      </w:r>
      <w:r w:rsidRPr="005B6B16">
        <w:rPr>
          <w:rFonts w:ascii="Times New Roman" w:hAnsi="Times New Roman"/>
          <w:sz w:val="24"/>
          <w:szCs w:val="24"/>
          <w:lang w:val="en-US"/>
        </w:rPr>
        <w:t>but higher than in the control cages (2% and 1%). Mortality was slightly higher in cages with chemically treated seeds.</w:t>
      </w:r>
      <w:r>
        <w:rPr>
          <w:rFonts w:ascii="Times New Roman" w:hAnsi="Times New Roman"/>
          <w:sz w:val="24"/>
          <w:szCs w:val="24"/>
        </w:rPr>
        <w:t xml:space="preserve"> </w:t>
      </w:r>
      <w:r w:rsidRPr="005B6B16">
        <w:rPr>
          <w:rFonts w:ascii="Times New Roman" w:hAnsi="Times New Roman"/>
          <w:sz w:val="24"/>
          <w:szCs w:val="24"/>
          <w:lang w:val="en-US"/>
        </w:rPr>
        <w:t>Entomopathogenic nematodes were detected only in dead specimens from treated cages. In Experiment 2, the number of dead weevils was more than four times higher compared with Experiment 1, probably due to higher humidity and greater insect density.</w:t>
      </w:r>
    </w:p>
    <w:p w:rsidR="00262BB4" w:rsidRDefault="00262BB4" w:rsidP="00262BB4">
      <w:pPr>
        <w:ind w:firstLine="567"/>
        <w:rPr>
          <w:rFonts w:ascii="Times New Roman" w:hAnsi="Times New Roman"/>
          <w:b/>
          <w:bCs/>
          <w:sz w:val="24"/>
          <w:szCs w:val="24"/>
          <w:lang w:val="en-US"/>
        </w:rPr>
      </w:pPr>
    </w:p>
    <w:p w:rsidR="005B6B16" w:rsidRPr="005B6B16" w:rsidRDefault="005B6B16" w:rsidP="00262BB4">
      <w:pPr>
        <w:ind w:firstLine="567"/>
        <w:rPr>
          <w:rFonts w:ascii="Times New Roman" w:hAnsi="Times New Roman"/>
          <w:sz w:val="24"/>
          <w:szCs w:val="24"/>
          <w:lang w:val="en-US"/>
        </w:rPr>
      </w:pPr>
      <w:r w:rsidRPr="005B6B16">
        <w:rPr>
          <w:rFonts w:ascii="Times New Roman" w:hAnsi="Times New Roman"/>
          <w:b/>
          <w:bCs/>
          <w:sz w:val="24"/>
          <w:szCs w:val="24"/>
          <w:lang w:val="en-US"/>
        </w:rPr>
        <w:t>Experiment with Nematop® Käfer-Stopp traps:</w:t>
      </w:r>
      <w:r>
        <w:rPr>
          <w:rFonts w:ascii="Times New Roman" w:hAnsi="Times New Roman"/>
          <w:sz w:val="24"/>
          <w:szCs w:val="24"/>
          <w:lang w:val="en-US"/>
        </w:rPr>
        <w:t xml:space="preserve"> </w:t>
      </w:r>
      <w:r w:rsidRPr="005B6B16">
        <w:rPr>
          <w:rFonts w:ascii="Times New Roman" w:hAnsi="Times New Roman"/>
          <w:sz w:val="24"/>
          <w:szCs w:val="24"/>
          <w:lang w:val="en-US"/>
        </w:rPr>
        <w:t xml:space="preserve">The mean number of live and dead </w:t>
      </w:r>
      <w:r w:rsidRPr="005B6B16">
        <w:rPr>
          <w:rFonts w:ascii="Times New Roman" w:hAnsi="Times New Roman"/>
          <w:i/>
          <w:iCs/>
          <w:sz w:val="24"/>
          <w:szCs w:val="24"/>
          <w:lang w:val="en-US"/>
        </w:rPr>
        <w:t>T. dilaticollis</w:t>
      </w:r>
      <w:r w:rsidRPr="005B6B16">
        <w:rPr>
          <w:rFonts w:ascii="Times New Roman" w:hAnsi="Times New Roman"/>
          <w:sz w:val="24"/>
          <w:szCs w:val="24"/>
          <w:lang w:val="en-US"/>
        </w:rPr>
        <w:t xml:space="preserve"> individuals within a 5 m radius around traps containing gel with infective juveniles of </w:t>
      </w:r>
      <w:r w:rsidRPr="005B6B16">
        <w:rPr>
          <w:rFonts w:ascii="Times New Roman" w:hAnsi="Times New Roman"/>
          <w:i/>
          <w:iCs/>
          <w:sz w:val="24"/>
          <w:szCs w:val="24"/>
          <w:lang w:val="en-US"/>
        </w:rPr>
        <w:t>S. carpocapsae</w:t>
      </w:r>
      <w:r w:rsidRPr="005B6B16">
        <w:rPr>
          <w:rFonts w:ascii="Times New Roman" w:hAnsi="Times New Roman"/>
          <w:sz w:val="24"/>
          <w:szCs w:val="24"/>
          <w:lang w:val="en-US"/>
        </w:rPr>
        <w:t xml:space="preserve"> was relatively low, with no significant differences between treatments in areas with different seed treatment practices (</w:t>
      </w:r>
      <w:r w:rsidRPr="005B6B16">
        <w:rPr>
          <w:rFonts w:ascii="Times New Roman" w:hAnsi="Times New Roman"/>
          <w:i/>
          <w:iCs/>
          <w:sz w:val="24"/>
          <w:szCs w:val="24"/>
          <w:lang w:val="en-US"/>
        </w:rPr>
        <w:t>P</w:t>
      </w:r>
      <w:r w:rsidRPr="005B6B16">
        <w:rPr>
          <w:rFonts w:ascii="Times New Roman" w:hAnsi="Times New Roman"/>
          <w:sz w:val="24"/>
          <w:szCs w:val="24"/>
          <w:lang w:val="en-US"/>
        </w:rPr>
        <w:t xml:space="preserve"> = 0.764 for live individuals; </w:t>
      </w:r>
      <w:r w:rsidRPr="005B6B16">
        <w:rPr>
          <w:rFonts w:ascii="Times New Roman" w:hAnsi="Times New Roman"/>
          <w:i/>
          <w:iCs/>
          <w:sz w:val="24"/>
          <w:szCs w:val="24"/>
          <w:lang w:val="en-US"/>
        </w:rPr>
        <w:t>P</w:t>
      </w:r>
      <w:r w:rsidRPr="005B6B16">
        <w:rPr>
          <w:rFonts w:ascii="Times New Roman" w:hAnsi="Times New Roman"/>
          <w:sz w:val="24"/>
          <w:szCs w:val="24"/>
          <w:lang w:val="en-US"/>
        </w:rPr>
        <w:t xml:space="preserve"> = 0.321 for dead individuals).</w:t>
      </w:r>
      <w:r>
        <w:rPr>
          <w:rFonts w:ascii="Times New Roman" w:hAnsi="Times New Roman"/>
          <w:sz w:val="24"/>
          <w:szCs w:val="24"/>
        </w:rPr>
        <w:t xml:space="preserve"> </w:t>
      </w:r>
      <w:r w:rsidRPr="005B6B16">
        <w:rPr>
          <w:rFonts w:ascii="Times New Roman" w:hAnsi="Times New Roman"/>
          <w:sz w:val="24"/>
          <w:szCs w:val="24"/>
          <w:lang w:val="en-US"/>
        </w:rPr>
        <w:t>Following dissections of the dead weevils collected, nematodes were detected in only one dead specimen.</w:t>
      </w:r>
    </w:p>
    <w:p w:rsidR="005B6B16" w:rsidRPr="005B6B16" w:rsidRDefault="005B6B16" w:rsidP="005B6B16">
      <w:pPr>
        <w:spacing w:before="100" w:beforeAutospacing="1" w:after="100" w:afterAutospacing="1" w:line="240" w:lineRule="auto"/>
        <w:ind w:firstLine="0"/>
        <w:jc w:val="left"/>
        <w:outlineLvl w:val="2"/>
        <w:rPr>
          <w:rFonts w:ascii="Times New Roman" w:hAnsi="Times New Roman"/>
          <w:b/>
          <w:bCs/>
          <w:sz w:val="24"/>
          <w:szCs w:val="24"/>
          <w:lang w:val="en-US"/>
        </w:rPr>
      </w:pPr>
      <w:r w:rsidRPr="005B6B16">
        <w:rPr>
          <w:rFonts w:ascii="Times New Roman" w:hAnsi="Times New Roman"/>
          <w:b/>
          <w:bCs/>
          <w:sz w:val="24"/>
          <w:szCs w:val="24"/>
          <w:lang w:val="en-US"/>
        </w:rPr>
        <w:t xml:space="preserve">4.1.11. Discussion of the results for </w:t>
      </w:r>
      <w:r w:rsidRPr="005B6B16">
        <w:rPr>
          <w:rFonts w:ascii="Times New Roman" w:hAnsi="Times New Roman"/>
          <w:b/>
          <w:bCs/>
          <w:i/>
          <w:iCs/>
          <w:sz w:val="24"/>
          <w:szCs w:val="24"/>
          <w:lang w:val="en-US"/>
        </w:rPr>
        <w:t>Tanymecus dilaticollis</w:t>
      </w:r>
    </w:p>
    <w:p w:rsidR="005B6B16" w:rsidRPr="005B6B16" w:rsidRDefault="005B6B16" w:rsidP="00BF6A3C">
      <w:pPr>
        <w:ind w:firstLine="567"/>
        <w:rPr>
          <w:rFonts w:ascii="Times New Roman" w:hAnsi="Times New Roman"/>
          <w:sz w:val="24"/>
          <w:szCs w:val="24"/>
          <w:lang w:val="en-US"/>
        </w:rPr>
      </w:pPr>
      <w:r w:rsidRPr="005B6B16">
        <w:rPr>
          <w:rFonts w:ascii="Times New Roman" w:hAnsi="Times New Roman"/>
          <w:sz w:val="24"/>
          <w:szCs w:val="24"/>
          <w:lang w:val="en-US"/>
        </w:rPr>
        <w:t xml:space="preserve">Although </w:t>
      </w:r>
      <w:r w:rsidRPr="005B6B16">
        <w:rPr>
          <w:rFonts w:ascii="Times New Roman" w:hAnsi="Times New Roman"/>
          <w:i/>
          <w:iCs/>
          <w:sz w:val="24"/>
          <w:szCs w:val="24"/>
          <w:lang w:val="en-US"/>
        </w:rPr>
        <w:t>T. dilaticollis</w:t>
      </w:r>
      <w:r w:rsidRPr="005B6B16">
        <w:rPr>
          <w:rFonts w:ascii="Times New Roman" w:hAnsi="Times New Roman"/>
          <w:sz w:val="24"/>
          <w:szCs w:val="24"/>
          <w:lang w:val="en-US"/>
        </w:rPr>
        <w:t xml:space="preserve"> is an economically important polyphagous pest in Eastern Europe, its chemical ecology has remained largely unexplored. For the first time, through a combination of methods, including behavioural field tests of candidate plant attractants using traps at the Maize Research Institute in Knezha, two synthetic plant-derived compounds attracting adults of this pest were identified (Toshova et al., 2010; El-Sayed, 2026). </w:t>
      </w:r>
      <w:r w:rsidRPr="005B6B16">
        <w:rPr>
          <w:rFonts w:ascii="Times New Roman" w:hAnsi="Times New Roman"/>
          <w:i/>
          <w:iCs/>
          <w:sz w:val="24"/>
          <w:szCs w:val="24"/>
          <w:lang w:val="en-US"/>
        </w:rPr>
        <w:t>(E)-</w:t>
      </w:r>
      <w:r w:rsidRPr="00BF6A3C">
        <w:rPr>
          <w:rFonts w:ascii="Times New Roman" w:hAnsi="Times New Roman"/>
          <w:iCs/>
          <w:sz w:val="24"/>
          <w:szCs w:val="24"/>
          <w:lang w:val="en-US"/>
        </w:rPr>
        <w:t>2-hexen-1-ol</w:t>
      </w:r>
      <w:r w:rsidRPr="005B6B16">
        <w:rPr>
          <w:rFonts w:ascii="Times New Roman" w:hAnsi="Times New Roman"/>
          <w:sz w:val="24"/>
          <w:szCs w:val="24"/>
          <w:lang w:val="en-US"/>
        </w:rPr>
        <w:t xml:space="preserve"> (E2-6OH) and </w:t>
      </w:r>
      <w:r w:rsidRPr="005B6B16">
        <w:rPr>
          <w:rFonts w:ascii="Times New Roman" w:hAnsi="Times New Roman"/>
          <w:i/>
          <w:iCs/>
          <w:sz w:val="24"/>
          <w:szCs w:val="24"/>
          <w:lang w:val="en-US"/>
        </w:rPr>
        <w:t>(Z)-</w:t>
      </w:r>
      <w:r w:rsidRPr="00BF6A3C">
        <w:rPr>
          <w:rFonts w:ascii="Times New Roman" w:hAnsi="Times New Roman"/>
          <w:iCs/>
          <w:sz w:val="24"/>
          <w:szCs w:val="24"/>
          <w:lang w:val="en-US"/>
        </w:rPr>
        <w:t>3-hexen-1-ol</w:t>
      </w:r>
      <w:r w:rsidRPr="005B6B16">
        <w:rPr>
          <w:rFonts w:ascii="Times New Roman" w:hAnsi="Times New Roman"/>
          <w:sz w:val="24"/>
          <w:szCs w:val="24"/>
          <w:lang w:val="en-US"/>
        </w:rPr>
        <w:t xml:space="preserve"> (Z3-6OH) attracted both sexes under field conditions; therefore, we consider that these compounds function as food attractants. The ratio of the volatile compounds Z3-6OH and E2-6OH </w:t>
      </w:r>
      <w:r w:rsidR="00087CD3">
        <w:rPr>
          <w:rFonts w:ascii="Times New Roman" w:hAnsi="Times New Roman"/>
          <w:sz w:val="24"/>
          <w:szCs w:val="24"/>
          <w:lang w:val="en-US"/>
        </w:rPr>
        <w:t xml:space="preserve">in the lure </w:t>
      </w:r>
      <w:r w:rsidRPr="005B6B16">
        <w:rPr>
          <w:rFonts w:ascii="Times New Roman" w:hAnsi="Times New Roman"/>
          <w:sz w:val="24"/>
          <w:szCs w:val="24"/>
          <w:lang w:val="en-US"/>
        </w:rPr>
        <w:t xml:space="preserve">did not influence the catches of </w:t>
      </w:r>
      <w:r w:rsidRPr="005B6B16">
        <w:rPr>
          <w:rFonts w:ascii="Times New Roman" w:hAnsi="Times New Roman"/>
          <w:i/>
          <w:iCs/>
          <w:sz w:val="24"/>
          <w:szCs w:val="24"/>
          <w:lang w:val="en-US"/>
        </w:rPr>
        <w:t>T. dilaticollis</w:t>
      </w:r>
      <w:r w:rsidRPr="005B6B16">
        <w:rPr>
          <w:rFonts w:ascii="Times New Roman" w:hAnsi="Times New Roman"/>
          <w:sz w:val="24"/>
          <w:szCs w:val="24"/>
          <w:lang w:val="en-US"/>
        </w:rPr>
        <w:t>.</w:t>
      </w:r>
    </w:p>
    <w:p w:rsidR="005B6B16" w:rsidRPr="005B6B16" w:rsidRDefault="005B6B16" w:rsidP="00BF6A3C">
      <w:pPr>
        <w:rPr>
          <w:rFonts w:ascii="Times New Roman" w:hAnsi="Times New Roman"/>
          <w:sz w:val="24"/>
          <w:szCs w:val="24"/>
          <w:lang w:val="en-US"/>
        </w:rPr>
      </w:pPr>
      <w:r w:rsidRPr="005B6B16">
        <w:rPr>
          <w:rFonts w:ascii="Times New Roman" w:hAnsi="Times New Roman"/>
          <w:sz w:val="24"/>
          <w:szCs w:val="24"/>
          <w:lang w:val="en-US"/>
        </w:rPr>
        <w:t xml:space="preserve">In this study, the efficiency of three types of dispensers containing the same chemical components was compared. According to the results, the Just Plastics PE container (2.5 ml) dispenser showed higher efficiency compared with Kartell PE </w:t>
      </w:r>
      <w:r w:rsidR="007732E5">
        <w:rPr>
          <w:rFonts w:ascii="Times New Roman" w:hAnsi="Times New Roman"/>
          <w:sz w:val="24"/>
          <w:szCs w:val="24"/>
          <w:lang w:val="en-US"/>
        </w:rPr>
        <w:t>vial</w:t>
      </w:r>
      <w:r w:rsidR="007732E5" w:rsidRPr="005B6B16">
        <w:rPr>
          <w:rFonts w:ascii="Times New Roman" w:hAnsi="Times New Roman"/>
          <w:sz w:val="24"/>
          <w:szCs w:val="24"/>
          <w:lang w:val="en-US"/>
        </w:rPr>
        <w:t xml:space="preserve">s </w:t>
      </w:r>
      <w:r w:rsidRPr="005B6B16">
        <w:rPr>
          <w:rFonts w:ascii="Times New Roman" w:hAnsi="Times New Roman"/>
          <w:sz w:val="24"/>
          <w:szCs w:val="24"/>
          <w:lang w:val="en-US"/>
        </w:rPr>
        <w:t xml:space="preserve">(1 ml) and PE cotton dispensers. The activity of the kairomonal attractant was also influenced by trap parameters. The selection of trap designs for comparison, placed either on the soil surface or partially buried in the soil, was based on the behavioural characteristics of the grey maize weevil, which mainly moves by walking on the soil surface or on vegetation. Our results demonstrated that TAL sticky traps </w:t>
      </w:r>
      <w:r w:rsidRPr="005B6B16">
        <w:rPr>
          <w:rFonts w:ascii="Times New Roman" w:hAnsi="Times New Roman"/>
          <w:sz w:val="24"/>
          <w:szCs w:val="24"/>
          <w:lang w:val="en-US"/>
        </w:rPr>
        <w:lastRenderedPageBreak/>
        <w:t xml:space="preserve">(modified pitfall-type traps with a roof and ramp) were the most suitable for capturing adult </w:t>
      </w:r>
      <w:r w:rsidRPr="005B6B16">
        <w:rPr>
          <w:rFonts w:ascii="Times New Roman" w:hAnsi="Times New Roman"/>
          <w:i/>
          <w:iCs/>
          <w:sz w:val="24"/>
          <w:szCs w:val="24"/>
          <w:lang w:val="en-US"/>
        </w:rPr>
        <w:t>T. dilaticollis</w:t>
      </w:r>
      <w:r w:rsidRPr="005B6B16">
        <w:rPr>
          <w:rFonts w:ascii="Times New Roman" w:hAnsi="Times New Roman"/>
          <w:sz w:val="24"/>
          <w:szCs w:val="24"/>
          <w:lang w:val="en-US"/>
        </w:rPr>
        <w:t xml:space="preserve"> compared with cotton boll weevil traps, Yatlor funnel traps (highly effective for capturing adult click beetles), and round pitfall traps equipped with a funnel and roof.</w:t>
      </w:r>
    </w:p>
    <w:p w:rsidR="005B6B16" w:rsidRPr="005B6B16" w:rsidRDefault="005B6B16" w:rsidP="00BF6A3C">
      <w:pPr>
        <w:ind w:firstLine="567"/>
        <w:rPr>
          <w:rFonts w:ascii="Times New Roman" w:hAnsi="Times New Roman"/>
          <w:sz w:val="24"/>
          <w:szCs w:val="24"/>
          <w:lang w:val="en-US"/>
        </w:rPr>
      </w:pPr>
      <w:r w:rsidRPr="005B6B16">
        <w:rPr>
          <w:rFonts w:ascii="Times New Roman" w:hAnsi="Times New Roman"/>
          <w:sz w:val="24"/>
          <w:szCs w:val="24"/>
          <w:lang w:val="en-US"/>
        </w:rPr>
        <w:t xml:space="preserve">The results obtained in 2011 using TAL traps with a sticky surface at the bottom and lures containing Z3-6OH and E2-6OH (1:1) (applied on </w:t>
      </w:r>
      <w:r w:rsidR="00873BD9">
        <w:rPr>
          <w:rFonts w:ascii="Times New Roman" w:hAnsi="Times New Roman"/>
          <w:sz w:val="24"/>
          <w:szCs w:val="24"/>
          <w:lang w:val="en-US"/>
        </w:rPr>
        <w:t>Just Plastics</w:t>
      </w:r>
      <w:r w:rsidR="00873BD9" w:rsidRPr="005B6B16">
        <w:rPr>
          <w:rFonts w:ascii="Times New Roman" w:hAnsi="Times New Roman"/>
          <w:sz w:val="24"/>
          <w:szCs w:val="24"/>
          <w:lang w:val="en-US"/>
        </w:rPr>
        <w:t xml:space="preserve"> </w:t>
      </w:r>
      <w:r w:rsidRPr="005B6B16">
        <w:rPr>
          <w:rFonts w:ascii="Times New Roman" w:hAnsi="Times New Roman"/>
          <w:sz w:val="24"/>
          <w:szCs w:val="24"/>
          <w:lang w:val="en-US"/>
        </w:rPr>
        <w:t xml:space="preserve">dispensers and replaced every 3–4 weeks) showed that overwintered adults of </w:t>
      </w:r>
      <w:r w:rsidRPr="005B6B16">
        <w:rPr>
          <w:rFonts w:ascii="Times New Roman" w:hAnsi="Times New Roman"/>
          <w:i/>
          <w:iCs/>
          <w:sz w:val="24"/>
          <w:szCs w:val="24"/>
          <w:lang w:val="en-US"/>
        </w:rPr>
        <w:t>T. dilaticollis</w:t>
      </w:r>
      <w:r w:rsidRPr="005B6B16">
        <w:rPr>
          <w:rFonts w:ascii="Times New Roman" w:hAnsi="Times New Roman"/>
          <w:sz w:val="24"/>
          <w:szCs w:val="24"/>
          <w:lang w:val="en-US"/>
        </w:rPr>
        <w:t xml:space="preserve"> are active from early April until early July. This allows us to conclude that these lures can be used as a monitoring tool for adult activity of the grey maize weevil.</w:t>
      </w:r>
    </w:p>
    <w:p w:rsidR="005B6B16" w:rsidRPr="005B6B16" w:rsidRDefault="005B6B16" w:rsidP="00BF6A3C">
      <w:pPr>
        <w:ind w:firstLine="567"/>
        <w:rPr>
          <w:rFonts w:ascii="Times New Roman" w:hAnsi="Times New Roman"/>
          <w:sz w:val="24"/>
          <w:szCs w:val="24"/>
          <w:lang w:val="en-US"/>
        </w:rPr>
      </w:pPr>
      <w:r w:rsidRPr="005B6B16">
        <w:rPr>
          <w:rFonts w:ascii="Times New Roman" w:hAnsi="Times New Roman"/>
          <w:sz w:val="24"/>
          <w:szCs w:val="24"/>
          <w:lang w:val="en-US"/>
        </w:rPr>
        <w:t xml:space="preserve">The preliminary results from the field evaluation of Naturalis, tested at two rates (100 ml/da and 200 ml/da), indicate that the higher dose and repeated application significantly contribute to its efficacy. These findings, together with previous laboratory results (Toshova et al., 2021), provide a basis for further studies aimed at confirming the high effectiveness of this bioinsecticide against </w:t>
      </w:r>
      <w:r w:rsidRPr="005B6B16">
        <w:rPr>
          <w:rFonts w:ascii="Times New Roman" w:hAnsi="Times New Roman"/>
          <w:i/>
          <w:iCs/>
          <w:sz w:val="24"/>
          <w:szCs w:val="24"/>
          <w:lang w:val="en-US"/>
        </w:rPr>
        <w:t>T. dilaticollis</w:t>
      </w:r>
      <w:r w:rsidRPr="005B6B16">
        <w:rPr>
          <w:rFonts w:ascii="Times New Roman" w:hAnsi="Times New Roman"/>
          <w:sz w:val="24"/>
          <w:szCs w:val="24"/>
          <w:lang w:val="en-US"/>
        </w:rPr>
        <w:t xml:space="preserve"> in maize crops.</w:t>
      </w:r>
    </w:p>
    <w:p w:rsidR="005B6B16" w:rsidRPr="005B6B16" w:rsidRDefault="005B6B16" w:rsidP="00BF6A3C">
      <w:pPr>
        <w:ind w:firstLine="567"/>
        <w:rPr>
          <w:rFonts w:ascii="Times New Roman" w:hAnsi="Times New Roman"/>
          <w:sz w:val="24"/>
          <w:szCs w:val="24"/>
          <w:lang w:val="en-US"/>
        </w:rPr>
      </w:pPr>
      <w:r w:rsidRPr="005B6B16">
        <w:rPr>
          <w:rFonts w:ascii="Times New Roman" w:hAnsi="Times New Roman"/>
          <w:sz w:val="24"/>
          <w:szCs w:val="24"/>
          <w:lang w:val="en-US"/>
        </w:rPr>
        <w:t xml:space="preserve">Based on laboratory experiments with white oregano essential oil, we established that only the highest concentrations exhibited strong insecticidal activity against adults of </w:t>
      </w:r>
      <w:r w:rsidRPr="005B6B16">
        <w:rPr>
          <w:rFonts w:ascii="Times New Roman" w:hAnsi="Times New Roman"/>
          <w:i/>
          <w:iCs/>
          <w:sz w:val="24"/>
          <w:szCs w:val="24"/>
          <w:lang w:val="en-US"/>
        </w:rPr>
        <w:t>T. dilaticollis</w:t>
      </w:r>
      <w:r w:rsidRPr="005B6B16">
        <w:rPr>
          <w:rFonts w:ascii="Times New Roman" w:hAnsi="Times New Roman"/>
          <w:sz w:val="24"/>
          <w:szCs w:val="24"/>
          <w:lang w:val="en-US"/>
        </w:rPr>
        <w:t>: 1 µl/ml and 10 µl/ml in the experiment involving filter paper treatment in Petri dishes, and 10 µl/ml in the experiment involving direct application of the plant extract onto insects. The highest tested concentration (10 µl/ml) caused extremely rapid mortality, with 100% mortality observed within the first minutes after exposure in the substrate treatment experiment. These results indicate that essential oil has a strong contact and probably fumigant effect on the insects.</w:t>
      </w:r>
    </w:p>
    <w:p w:rsidR="005B6B16" w:rsidRPr="005B6B16" w:rsidRDefault="005B6B16" w:rsidP="00BF6A3C">
      <w:pPr>
        <w:ind w:firstLine="567"/>
        <w:rPr>
          <w:rFonts w:ascii="Times New Roman" w:hAnsi="Times New Roman"/>
          <w:sz w:val="24"/>
          <w:szCs w:val="24"/>
          <w:lang w:val="en-US"/>
        </w:rPr>
      </w:pPr>
      <w:r w:rsidRPr="005B6B16">
        <w:rPr>
          <w:rFonts w:ascii="Times New Roman" w:hAnsi="Times New Roman"/>
          <w:sz w:val="24"/>
          <w:szCs w:val="24"/>
          <w:lang w:val="en-US"/>
        </w:rPr>
        <w:t xml:space="preserve">In conclusion, white oregano </w:t>
      </w:r>
      <w:r w:rsidR="004748D5">
        <w:rPr>
          <w:rFonts w:ascii="Times New Roman" w:hAnsi="Times New Roman"/>
          <w:sz w:val="24"/>
          <w:szCs w:val="24"/>
          <w:lang w:val="en-US"/>
        </w:rPr>
        <w:t>EO</w:t>
      </w:r>
      <w:r w:rsidRPr="005B6B16">
        <w:rPr>
          <w:rFonts w:ascii="Times New Roman" w:hAnsi="Times New Roman"/>
          <w:sz w:val="24"/>
          <w:szCs w:val="24"/>
          <w:lang w:val="en-US"/>
        </w:rPr>
        <w:t xml:space="preserve"> demonstrates considerable potential for use in biological plant protection against </w:t>
      </w:r>
      <w:r w:rsidRPr="005B6B16">
        <w:rPr>
          <w:rFonts w:ascii="Times New Roman" w:hAnsi="Times New Roman"/>
          <w:i/>
          <w:iCs/>
          <w:sz w:val="24"/>
          <w:szCs w:val="24"/>
          <w:lang w:val="en-US"/>
        </w:rPr>
        <w:t>T. dilaticollis</w:t>
      </w:r>
      <w:r w:rsidRPr="005B6B16">
        <w:rPr>
          <w:rFonts w:ascii="Times New Roman" w:hAnsi="Times New Roman"/>
          <w:sz w:val="24"/>
          <w:szCs w:val="24"/>
          <w:lang w:val="en-US"/>
        </w:rPr>
        <w:t>. However, further studies are needed to determine optimal doses, application methods, and efficacy under field conditions.</w:t>
      </w:r>
    </w:p>
    <w:p w:rsidR="005B6B16" w:rsidRPr="005B6B16" w:rsidRDefault="005B6B16" w:rsidP="00BF6A3C">
      <w:pPr>
        <w:ind w:firstLine="567"/>
        <w:rPr>
          <w:rFonts w:ascii="Times New Roman" w:hAnsi="Times New Roman"/>
          <w:sz w:val="24"/>
          <w:szCs w:val="24"/>
          <w:lang w:val="en-US"/>
        </w:rPr>
      </w:pPr>
      <w:r w:rsidRPr="005B6B16">
        <w:rPr>
          <w:rFonts w:ascii="Times New Roman" w:hAnsi="Times New Roman"/>
          <w:sz w:val="24"/>
          <w:szCs w:val="24"/>
          <w:lang w:val="en-US"/>
        </w:rPr>
        <w:t xml:space="preserve">White oregano </w:t>
      </w:r>
      <w:r w:rsidR="004748D5">
        <w:rPr>
          <w:rFonts w:ascii="Times New Roman" w:hAnsi="Times New Roman"/>
          <w:sz w:val="24"/>
          <w:szCs w:val="24"/>
          <w:lang w:val="en-US"/>
        </w:rPr>
        <w:t>EO</w:t>
      </w:r>
      <w:r w:rsidRPr="005B6B16">
        <w:rPr>
          <w:rFonts w:ascii="Times New Roman" w:hAnsi="Times New Roman"/>
          <w:sz w:val="24"/>
          <w:szCs w:val="24"/>
          <w:lang w:val="en-US"/>
        </w:rPr>
        <w:t xml:space="preserve"> at concentrations up to 10 μl/ml is suitable for further investigation as a bioinsecticide against adult grey maize weevils in maize crops, as the risk of permanent phytotoxic damage to maize under field conditions is minimal. On the other hand, to increase the practical applicability of essential oils in agriculture, the development of appropriate formulation strategies is necessary.</w:t>
      </w:r>
    </w:p>
    <w:p w:rsidR="005B6B16" w:rsidRPr="005B6B16" w:rsidRDefault="005B6B16" w:rsidP="00262BB4">
      <w:pPr>
        <w:rPr>
          <w:rFonts w:ascii="Times New Roman" w:hAnsi="Times New Roman"/>
          <w:sz w:val="24"/>
          <w:szCs w:val="24"/>
          <w:lang w:val="en-US"/>
        </w:rPr>
      </w:pPr>
      <w:r w:rsidRPr="005B6B16">
        <w:rPr>
          <w:rFonts w:ascii="Times New Roman" w:hAnsi="Times New Roman"/>
          <w:sz w:val="24"/>
          <w:szCs w:val="24"/>
          <w:lang w:val="en-US"/>
        </w:rPr>
        <w:t>The results from field experiments with Nemastar® in open maize fields showed that:</w:t>
      </w:r>
      <w:r w:rsidR="004748D5">
        <w:rPr>
          <w:rFonts w:ascii="Times New Roman" w:hAnsi="Times New Roman"/>
          <w:sz w:val="24"/>
          <w:szCs w:val="24"/>
          <w:lang w:val="en-US"/>
        </w:rPr>
        <w:t xml:space="preserve"> </w:t>
      </w:r>
      <w:r w:rsidR="00262BB4">
        <w:rPr>
          <w:rFonts w:ascii="Times New Roman" w:hAnsi="Times New Roman"/>
          <w:sz w:val="24"/>
          <w:szCs w:val="24"/>
          <w:lang w:val="en-US"/>
        </w:rPr>
        <w:t xml:space="preserve">1) </w:t>
      </w:r>
      <w:r w:rsidR="004748D5">
        <w:rPr>
          <w:rFonts w:ascii="Times New Roman" w:hAnsi="Times New Roman"/>
          <w:sz w:val="24"/>
          <w:szCs w:val="24"/>
          <w:lang w:val="en-US"/>
        </w:rPr>
        <w:t>T</w:t>
      </w:r>
      <w:r w:rsidR="004748D5" w:rsidRPr="005B6B16">
        <w:rPr>
          <w:rFonts w:ascii="Times New Roman" w:hAnsi="Times New Roman"/>
          <w:sz w:val="24"/>
          <w:szCs w:val="24"/>
          <w:lang w:val="en-US"/>
        </w:rPr>
        <w:t xml:space="preserve">he </w:t>
      </w:r>
      <w:r w:rsidRPr="005B6B16">
        <w:rPr>
          <w:rFonts w:ascii="Times New Roman" w:hAnsi="Times New Roman"/>
          <w:sz w:val="24"/>
          <w:szCs w:val="24"/>
          <w:lang w:val="en-US"/>
        </w:rPr>
        <w:t>population density of the grey maize weevil was relatively low during the study period;</w:t>
      </w:r>
      <w:r w:rsidR="00262BB4">
        <w:rPr>
          <w:rFonts w:ascii="Times New Roman" w:hAnsi="Times New Roman"/>
          <w:sz w:val="24"/>
          <w:szCs w:val="24"/>
          <w:lang w:val="en-US"/>
        </w:rPr>
        <w:t xml:space="preserve"> 2) </w:t>
      </w:r>
      <w:r w:rsidR="004748D5">
        <w:rPr>
          <w:rFonts w:ascii="Times New Roman" w:hAnsi="Times New Roman"/>
          <w:sz w:val="24"/>
          <w:szCs w:val="24"/>
          <w:lang w:val="en-US"/>
        </w:rPr>
        <w:t>T</w:t>
      </w:r>
      <w:r w:rsidR="004748D5" w:rsidRPr="005B6B16">
        <w:rPr>
          <w:rFonts w:ascii="Times New Roman" w:hAnsi="Times New Roman"/>
          <w:sz w:val="24"/>
          <w:szCs w:val="24"/>
          <w:lang w:val="en-US"/>
        </w:rPr>
        <w:t xml:space="preserve">he </w:t>
      </w:r>
      <w:r w:rsidRPr="005B6B16">
        <w:rPr>
          <w:rFonts w:ascii="Times New Roman" w:hAnsi="Times New Roman"/>
          <w:sz w:val="24"/>
          <w:szCs w:val="24"/>
          <w:lang w:val="en-US"/>
        </w:rPr>
        <w:t xml:space="preserve">mean number of live weevils was significantly lower in plots with Gaucho-treated seeds </w:t>
      </w:r>
      <w:r w:rsidRPr="005B6B16">
        <w:rPr>
          <w:rFonts w:ascii="Times New Roman" w:hAnsi="Times New Roman"/>
          <w:sz w:val="24"/>
          <w:szCs w:val="24"/>
          <w:lang w:val="en-US"/>
        </w:rPr>
        <w:lastRenderedPageBreak/>
        <w:t>compared with biologically treated plots;</w:t>
      </w:r>
      <w:r w:rsidR="00262BB4">
        <w:rPr>
          <w:rFonts w:ascii="Times New Roman" w:hAnsi="Times New Roman"/>
          <w:sz w:val="24"/>
          <w:szCs w:val="24"/>
          <w:lang w:val="en-US"/>
        </w:rPr>
        <w:t xml:space="preserve"> 3) </w:t>
      </w:r>
      <w:r w:rsidR="004748D5">
        <w:rPr>
          <w:rFonts w:ascii="Times New Roman" w:hAnsi="Times New Roman"/>
          <w:sz w:val="24"/>
          <w:szCs w:val="24"/>
          <w:lang w:val="en-US"/>
        </w:rPr>
        <w:t>T</w:t>
      </w:r>
      <w:r w:rsidR="004748D5" w:rsidRPr="005B6B16">
        <w:rPr>
          <w:rFonts w:ascii="Times New Roman" w:hAnsi="Times New Roman"/>
          <w:sz w:val="24"/>
          <w:szCs w:val="24"/>
          <w:lang w:val="en-US"/>
        </w:rPr>
        <w:t xml:space="preserve">he </w:t>
      </w:r>
      <w:r w:rsidRPr="005B6B16">
        <w:rPr>
          <w:rFonts w:ascii="Times New Roman" w:hAnsi="Times New Roman"/>
          <w:sz w:val="24"/>
          <w:szCs w:val="24"/>
          <w:lang w:val="en-US"/>
        </w:rPr>
        <w:t xml:space="preserve">mean number of dead adult </w:t>
      </w:r>
      <w:r w:rsidRPr="005B6B16">
        <w:rPr>
          <w:rFonts w:ascii="Times New Roman" w:hAnsi="Times New Roman"/>
          <w:i/>
          <w:iCs/>
          <w:sz w:val="24"/>
          <w:szCs w:val="24"/>
          <w:lang w:val="en-US"/>
        </w:rPr>
        <w:t>T. dilaticollis</w:t>
      </w:r>
      <w:r w:rsidRPr="005B6B16">
        <w:rPr>
          <w:rFonts w:ascii="Times New Roman" w:hAnsi="Times New Roman"/>
          <w:sz w:val="24"/>
          <w:szCs w:val="24"/>
          <w:lang w:val="en-US"/>
        </w:rPr>
        <w:t xml:space="preserve"> individuals was higher in Nemastar®-treated plots than in control treatments where no entomopathogen</w:t>
      </w:r>
      <w:r w:rsidR="00262BB4">
        <w:rPr>
          <w:rFonts w:ascii="Times New Roman" w:hAnsi="Times New Roman"/>
          <w:sz w:val="24"/>
          <w:szCs w:val="24"/>
          <w:lang w:val="en-US"/>
        </w:rPr>
        <w:t xml:space="preserve">ic nematode product was applied and 4) </w:t>
      </w:r>
      <w:r w:rsidR="004748D5">
        <w:rPr>
          <w:rFonts w:ascii="Times New Roman" w:hAnsi="Times New Roman"/>
          <w:sz w:val="24"/>
          <w:szCs w:val="24"/>
          <w:lang w:val="en-US"/>
        </w:rPr>
        <w:t>E</w:t>
      </w:r>
      <w:r w:rsidR="004748D5" w:rsidRPr="005B6B16">
        <w:rPr>
          <w:rFonts w:ascii="Times New Roman" w:hAnsi="Times New Roman"/>
          <w:sz w:val="24"/>
          <w:szCs w:val="24"/>
          <w:lang w:val="en-US"/>
        </w:rPr>
        <w:t xml:space="preserve">ntomopathogenic </w:t>
      </w:r>
      <w:r w:rsidRPr="005B6B16">
        <w:rPr>
          <w:rFonts w:ascii="Times New Roman" w:hAnsi="Times New Roman"/>
          <w:sz w:val="24"/>
          <w:szCs w:val="24"/>
          <w:lang w:val="en-US"/>
        </w:rPr>
        <w:t xml:space="preserve">nematodes were detected only in microscopic preparations from dead adult </w:t>
      </w:r>
      <w:r w:rsidRPr="005B6B16">
        <w:rPr>
          <w:rFonts w:ascii="Times New Roman" w:hAnsi="Times New Roman"/>
          <w:i/>
          <w:iCs/>
          <w:sz w:val="24"/>
          <w:szCs w:val="24"/>
          <w:lang w:val="en-US"/>
        </w:rPr>
        <w:t>T. dilaticollis</w:t>
      </w:r>
      <w:r w:rsidRPr="005B6B16">
        <w:rPr>
          <w:rFonts w:ascii="Times New Roman" w:hAnsi="Times New Roman"/>
          <w:sz w:val="24"/>
          <w:szCs w:val="24"/>
          <w:lang w:val="en-US"/>
        </w:rPr>
        <w:t xml:space="preserve"> individuals collected from Nemastar® treatments.</w:t>
      </w:r>
    </w:p>
    <w:p w:rsidR="005B6B16" w:rsidRPr="005B6B16" w:rsidRDefault="005B6B16" w:rsidP="00BF6A3C">
      <w:pPr>
        <w:ind w:firstLine="567"/>
        <w:rPr>
          <w:rFonts w:ascii="Times New Roman" w:hAnsi="Times New Roman"/>
          <w:sz w:val="24"/>
          <w:szCs w:val="24"/>
          <w:lang w:val="en-US"/>
        </w:rPr>
      </w:pPr>
      <w:r w:rsidRPr="005B6B16">
        <w:rPr>
          <w:rFonts w:ascii="Times New Roman" w:hAnsi="Times New Roman"/>
          <w:sz w:val="24"/>
          <w:szCs w:val="24"/>
          <w:lang w:val="en-US"/>
        </w:rPr>
        <w:t xml:space="preserve">The present study is the first report of entomopathogenic nematodes associated with the grey maize weevil. The absence of entomopathogenic nematodes in control treatments indicates the lack of established local populations of </w:t>
      </w:r>
      <w:r w:rsidRPr="005B6B16">
        <w:rPr>
          <w:rFonts w:ascii="Times New Roman" w:hAnsi="Times New Roman"/>
          <w:i/>
          <w:iCs/>
          <w:sz w:val="24"/>
          <w:szCs w:val="24"/>
          <w:lang w:val="en-US"/>
        </w:rPr>
        <w:t>S. carpocapsae</w:t>
      </w:r>
      <w:r w:rsidRPr="005B6B16">
        <w:rPr>
          <w:rFonts w:ascii="Times New Roman" w:hAnsi="Times New Roman"/>
          <w:sz w:val="24"/>
          <w:szCs w:val="24"/>
          <w:lang w:val="en-US"/>
        </w:rPr>
        <w:t xml:space="preserve"> and the absence of dispersal from treated areas.</w:t>
      </w:r>
    </w:p>
    <w:p w:rsidR="00BD51FA" w:rsidRPr="00BD51FA" w:rsidRDefault="00BD51FA" w:rsidP="00BD51FA">
      <w:pPr>
        <w:spacing w:before="100" w:beforeAutospacing="1" w:after="100" w:afterAutospacing="1" w:line="240" w:lineRule="auto"/>
        <w:ind w:firstLine="0"/>
        <w:jc w:val="left"/>
        <w:outlineLvl w:val="2"/>
        <w:rPr>
          <w:rFonts w:ascii="Times New Roman" w:hAnsi="Times New Roman"/>
          <w:b/>
          <w:bCs/>
          <w:sz w:val="28"/>
          <w:szCs w:val="28"/>
          <w:lang w:val="en-US"/>
        </w:rPr>
      </w:pPr>
      <w:r w:rsidRPr="00BD51FA">
        <w:rPr>
          <w:rFonts w:ascii="Times New Roman" w:hAnsi="Times New Roman"/>
          <w:b/>
          <w:bCs/>
          <w:sz w:val="28"/>
          <w:szCs w:val="28"/>
          <w:lang w:val="en-US"/>
        </w:rPr>
        <w:t xml:space="preserve">4.2. </w:t>
      </w:r>
      <w:r w:rsidRPr="00BD51FA">
        <w:rPr>
          <w:rFonts w:ascii="Times New Roman" w:hAnsi="Times New Roman"/>
          <w:b/>
          <w:bCs/>
          <w:i/>
          <w:iCs/>
          <w:sz w:val="28"/>
          <w:szCs w:val="28"/>
          <w:lang w:val="en-US"/>
        </w:rPr>
        <w:t>Diabrotica virgifera virgifera</w:t>
      </w:r>
    </w:p>
    <w:p w:rsidR="00BD51FA" w:rsidRPr="00BD51FA" w:rsidRDefault="00BD51FA" w:rsidP="00B67B49">
      <w:pPr>
        <w:spacing w:before="100" w:beforeAutospacing="1" w:after="100" w:afterAutospacing="1" w:line="240" w:lineRule="auto"/>
        <w:ind w:firstLine="0"/>
        <w:outlineLvl w:val="2"/>
        <w:rPr>
          <w:rFonts w:ascii="Times New Roman" w:hAnsi="Times New Roman"/>
          <w:b/>
          <w:bCs/>
          <w:sz w:val="24"/>
          <w:szCs w:val="24"/>
          <w:lang w:val="en-US"/>
        </w:rPr>
      </w:pPr>
      <w:r w:rsidRPr="00BD51FA">
        <w:rPr>
          <w:rFonts w:ascii="Times New Roman" w:hAnsi="Times New Roman"/>
          <w:b/>
          <w:bCs/>
          <w:sz w:val="24"/>
          <w:szCs w:val="24"/>
          <w:lang w:val="en-US"/>
        </w:rPr>
        <w:t xml:space="preserve">4.2.1. Monitoring of the seasonal activity of </w:t>
      </w:r>
      <w:r w:rsidRPr="00BD51FA">
        <w:rPr>
          <w:rFonts w:ascii="Times New Roman" w:hAnsi="Times New Roman"/>
          <w:b/>
          <w:bCs/>
          <w:i/>
          <w:iCs/>
          <w:sz w:val="24"/>
          <w:szCs w:val="24"/>
          <w:lang w:val="en-US"/>
        </w:rPr>
        <w:t>Diabrotica virgifera virgifera</w:t>
      </w:r>
      <w:r w:rsidRPr="00BD51FA">
        <w:rPr>
          <w:rFonts w:ascii="Times New Roman" w:hAnsi="Times New Roman"/>
          <w:b/>
          <w:bCs/>
          <w:sz w:val="24"/>
          <w:szCs w:val="24"/>
          <w:lang w:val="en-US"/>
        </w:rPr>
        <w:t xml:space="preserve"> </w:t>
      </w:r>
      <w:r w:rsidR="007C1FF8" w:rsidRPr="00BD51FA">
        <w:rPr>
          <w:rFonts w:ascii="Times New Roman" w:hAnsi="Times New Roman"/>
          <w:b/>
          <w:bCs/>
          <w:sz w:val="24"/>
          <w:szCs w:val="24"/>
          <w:lang w:val="en-US"/>
        </w:rPr>
        <w:t>adult</w:t>
      </w:r>
      <w:r w:rsidR="007C1FF8">
        <w:rPr>
          <w:rFonts w:ascii="Times New Roman" w:hAnsi="Times New Roman"/>
          <w:b/>
          <w:bCs/>
          <w:sz w:val="24"/>
          <w:szCs w:val="24"/>
          <w:lang w:val="en-US"/>
        </w:rPr>
        <w:t>s</w:t>
      </w:r>
      <w:r w:rsidR="007C1FF8" w:rsidRPr="00BD51FA">
        <w:rPr>
          <w:rFonts w:ascii="Times New Roman" w:hAnsi="Times New Roman"/>
          <w:b/>
          <w:bCs/>
          <w:sz w:val="24"/>
          <w:szCs w:val="24"/>
          <w:lang w:val="en-US"/>
        </w:rPr>
        <w:t xml:space="preserve"> </w:t>
      </w:r>
      <w:r w:rsidRPr="00BD51FA">
        <w:rPr>
          <w:rFonts w:ascii="Times New Roman" w:hAnsi="Times New Roman"/>
          <w:b/>
          <w:bCs/>
          <w:sz w:val="24"/>
          <w:szCs w:val="24"/>
          <w:lang w:val="en-US"/>
        </w:rPr>
        <w:t>using coloured sticky traps without lures</w:t>
      </w:r>
    </w:p>
    <w:p w:rsidR="00BD51FA" w:rsidRPr="00BD51FA" w:rsidRDefault="00BD51FA" w:rsidP="00BD51FA">
      <w:pPr>
        <w:spacing w:before="100" w:beforeAutospacing="1" w:after="100" w:afterAutospacing="1"/>
        <w:rPr>
          <w:rFonts w:ascii="Times New Roman" w:hAnsi="Times New Roman"/>
          <w:sz w:val="24"/>
          <w:szCs w:val="24"/>
          <w:lang w:val="en-US"/>
        </w:rPr>
      </w:pPr>
      <w:r w:rsidRPr="00BD51FA">
        <w:rPr>
          <w:rFonts w:ascii="Times New Roman" w:hAnsi="Times New Roman"/>
          <w:sz w:val="24"/>
          <w:szCs w:val="24"/>
          <w:lang w:val="en-US"/>
        </w:rPr>
        <w:t xml:space="preserve">Despite the early placement of traps in the field at the beginning of June 2014, a total of 21 adult </w:t>
      </w:r>
      <w:r w:rsidRPr="00BD51FA">
        <w:rPr>
          <w:rFonts w:ascii="Times New Roman" w:hAnsi="Times New Roman"/>
          <w:i/>
          <w:iCs/>
          <w:sz w:val="24"/>
          <w:szCs w:val="24"/>
          <w:lang w:val="en-US"/>
        </w:rPr>
        <w:t>D. v. virgifera</w:t>
      </w:r>
      <w:r w:rsidRPr="00BD51FA">
        <w:rPr>
          <w:rFonts w:ascii="Times New Roman" w:hAnsi="Times New Roman"/>
          <w:sz w:val="24"/>
          <w:szCs w:val="24"/>
          <w:lang w:val="en-US"/>
        </w:rPr>
        <w:t xml:space="preserve"> individuals were recorded only during the period from 22 July to 17 September 2014 (</w:t>
      </w:r>
      <w:r w:rsidRPr="00117EDD">
        <w:rPr>
          <w:rFonts w:ascii="Times New Roman" w:hAnsi="Times New Roman"/>
          <w:sz w:val="24"/>
          <w:szCs w:val="24"/>
          <w:lang w:val="en-US"/>
        </w:rPr>
        <w:t>Fig. 10</w:t>
      </w:r>
      <w:r w:rsidRPr="00BD51FA">
        <w:rPr>
          <w:rFonts w:ascii="Times New Roman" w:hAnsi="Times New Roman"/>
          <w:sz w:val="24"/>
          <w:szCs w:val="24"/>
          <w:lang w:val="en-US"/>
        </w:rPr>
        <w:t>). Captures were registered in all trap variants except the red sticky traps (</w:t>
      </w:r>
      <w:r w:rsidRPr="00117EDD">
        <w:rPr>
          <w:rFonts w:ascii="Times New Roman" w:hAnsi="Times New Roman"/>
          <w:sz w:val="24"/>
          <w:szCs w:val="24"/>
          <w:lang w:val="en-US"/>
        </w:rPr>
        <w:t>Fig. 11</w:t>
      </w:r>
      <w:r w:rsidRPr="00BD51FA">
        <w:rPr>
          <w:rFonts w:ascii="Times New Roman" w:hAnsi="Times New Roman"/>
          <w:sz w:val="24"/>
          <w:szCs w:val="24"/>
          <w:lang w:val="en-US"/>
        </w:rPr>
        <w:t xml:space="preserve">). </w:t>
      </w:r>
    </w:p>
    <w:p w:rsidR="00EC5254" w:rsidRPr="00EC5254" w:rsidRDefault="00BA2DF8" w:rsidP="00EC5254">
      <w:pPr>
        <w:suppressLineNumbers/>
        <w:tabs>
          <w:tab w:val="left" w:pos="6660"/>
        </w:tabs>
        <w:ind w:firstLine="0"/>
        <w:jc w:val="left"/>
        <w:rPr>
          <w:rFonts w:ascii="Times New Roman" w:hAnsi="Times New Roman"/>
          <w:sz w:val="24"/>
          <w:szCs w:val="24"/>
          <w:lang w:eastAsia="hu-HU"/>
        </w:rPr>
      </w:pPr>
      <w:r>
        <w:rPr>
          <w:rFonts w:ascii="Times New Roman" w:hAnsi="Times New Roman"/>
          <w:sz w:val="24"/>
          <w:szCs w:val="24"/>
          <w:lang w:eastAsia="hu-HU"/>
        </w:rPr>
        <w:t xml:space="preserve">       </w:t>
      </w:r>
      <w:r w:rsidR="00686510" w:rsidRPr="00686510">
        <w:rPr>
          <w:rFonts w:ascii="Times New Roman" w:hAnsi="Times New Roman"/>
          <w:noProof/>
          <w:sz w:val="24"/>
          <w:szCs w:val="24"/>
          <w:lang w:val="en-US"/>
        </w:rPr>
        <w:drawing>
          <wp:inline distT="0" distB="0" distL="0" distR="0">
            <wp:extent cx="5474335" cy="2787650"/>
            <wp:effectExtent l="0" t="0" r="0" b="0"/>
            <wp:docPr id="13" name="Chart 1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A1396F" w:rsidRDefault="00BD51FA" w:rsidP="00A1396F">
      <w:pPr>
        <w:spacing w:before="100" w:beforeAutospacing="1" w:after="100" w:afterAutospacing="1" w:line="240" w:lineRule="auto"/>
        <w:ind w:firstLine="0"/>
        <w:jc w:val="left"/>
        <w:rPr>
          <w:rFonts w:cs="Calibri"/>
          <w:sz w:val="24"/>
          <w:szCs w:val="24"/>
          <w:lang w:val="en-US"/>
        </w:rPr>
      </w:pPr>
      <w:r w:rsidRPr="00BD51FA">
        <w:rPr>
          <w:rFonts w:cs="Calibri"/>
          <w:b/>
          <w:bCs/>
          <w:sz w:val="24"/>
          <w:szCs w:val="24"/>
          <w:lang w:val="en-US"/>
        </w:rPr>
        <w:t>Fig. 10</w:t>
      </w:r>
      <w:r w:rsidR="00A1396F" w:rsidRPr="00BD51FA">
        <w:rPr>
          <w:rFonts w:cs="Calibri"/>
          <w:b/>
          <w:bCs/>
          <w:sz w:val="24"/>
          <w:szCs w:val="24"/>
          <w:lang w:val="en-US"/>
        </w:rPr>
        <w:t>.</w:t>
      </w:r>
      <w:r w:rsidR="00A1396F" w:rsidRPr="00BD51FA">
        <w:rPr>
          <w:rFonts w:cs="Calibri"/>
          <w:sz w:val="24"/>
          <w:szCs w:val="24"/>
          <w:lang w:val="en-US"/>
        </w:rPr>
        <w:t xml:space="preserve"> Seasonal activity of adult </w:t>
      </w:r>
      <w:r w:rsidR="00A1396F" w:rsidRPr="00BD51FA">
        <w:rPr>
          <w:rFonts w:cs="Calibri"/>
          <w:i/>
          <w:iCs/>
          <w:sz w:val="24"/>
          <w:szCs w:val="24"/>
          <w:lang w:val="en-US"/>
        </w:rPr>
        <w:t>Diabrotica virgifera virgifera</w:t>
      </w:r>
      <w:r w:rsidR="00A1396F" w:rsidRPr="00BD51FA">
        <w:rPr>
          <w:rFonts w:cs="Calibri"/>
          <w:sz w:val="24"/>
          <w:szCs w:val="24"/>
          <w:lang w:val="en-US"/>
        </w:rPr>
        <w:t xml:space="preserve"> at the Experimental Centre in Knezha, Bulgaria, 2014.</w:t>
      </w:r>
    </w:p>
    <w:p w:rsidR="00127318" w:rsidRPr="00BD51FA" w:rsidRDefault="00127318" w:rsidP="00127318">
      <w:pPr>
        <w:spacing w:before="100" w:beforeAutospacing="1" w:after="100" w:afterAutospacing="1"/>
        <w:ind w:firstLine="562"/>
        <w:jc w:val="left"/>
        <w:rPr>
          <w:rFonts w:cs="Calibri"/>
          <w:sz w:val="24"/>
          <w:szCs w:val="24"/>
          <w:lang w:val="en-US"/>
        </w:rPr>
      </w:pPr>
      <w:r w:rsidRPr="00BD51FA">
        <w:rPr>
          <w:rFonts w:ascii="Times New Roman" w:hAnsi="Times New Roman"/>
          <w:sz w:val="24"/>
          <w:szCs w:val="24"/>
          <w:lang w:val="en-US"/>
        </w:rPr>
        <w:lastRenderedPageBreak/>
        <w:t>The highest mean number of beetles was captured in the fluorescent yellow sticky traps however, no statistically significant differences were detected among the mean catches in the tested variants.</w:t>
      </w:r>
    </w:p>
    <w:p w:rsidR="00EC5254" w:rsidRPr="00EC5254" w:rsidRDefault="00BA2DF8" w:rsidP="00EC5254">
      <w:pPr>
        <w:suppressLineNumbers/>
        <w:ind w:firstLine="0"/>
        <w:jc w:val="left"/>
        <w:rPr>
          <w:rFonts w:ascii="Calibri" w:hAnsi="Calibri"/>
          <w:sz w:val="24"/>
          <w:szCs w:val="24"/>
          <w:lang w:eastAsia="bg-BG"/>
        </w:rPr>
      </w:pPr>
      <w:r>
        <w:rPr>
          <w:rFonts w:ascii="Calibri" w:hAnsi="Calibri"/>
          <w:sz w:val="24"/>
          <w:szCs w:val="24"/>
          <w:lang w:eastAsia="bg-BG"/>
        </w:rPr>
        <w:t xml:space="preserve">        </w:t>
      </w:r>
      <w:r w:rsidRPr="00BA2DF8">
        <w:rPr>
          <w:rFonts w:ascii="Calibri" w:hAnsi="Calibri"/>
          <w:noProof/>
          <w:sz w:val="24"/>
          <w:szCs w:val="24"/>
          <w:lang w:val="en-US"/>
        </w:rPr>
        <w:drawing>
          <wp:inline distT="0" distB="0" distL="0" distR="0" wp14:anchorId="0CAC5B3E" wp14:editId="4C1877FE">
            <wp:extent cx="5476875" cy="3199765"/>
            <wp:effectExtent l="0" t="0" r="9525" b="635"/>
            <wp:docPr id="19" name="Диагра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A1396F" w:rsidRDefault="00BD51FA" w:rsidP="00A1396F">
      <w:pPr>
        <w:spacing w:before="100" w:beforeAutospacing="1" w:after="100" w:afterAutospacing="1" w:line="240" w:lineRule="auto"/>
        <w:ind w:firstLine="0"/>
        <w:jc w:val="left"/>
        <w:rPr>
          <w:rFonts w:ascii="Calibri" w:hAnsi="Calibri" w:cs="Calibri"/>
          <w:sz w:val="24"/>
          <w:szCs w:val="24"/>
          <w:lang w:val="en-US"/>
        </w:rPr>
      </w:pPr>
      <w:bookmarkStart w:id="1" w:name="_Toc232877332"/>
      <w:r w:rsidRPr="00BD51FA">
        <w:rPr>
          <w:rFonts w:ascii="Calibri" w:hAnsi="Calibri" w:cs="Calibri"/>
          <w:b/>
          <w:bCs/>
          <w:sz w:val="24"/>
          <w:szCs w:val="24"/>
          <w:lang w:val="en-US"/>
        </w:rPr>
        <w:t>Fig. 11</w:t>
      </w:r>
      <w:r w:rsidR="00A1396F" w:rsidRPr="00BD51FA">
        <w:rPr>
          <w:rFonts w:ascii="Calibri" w:hAnsi="Calibri" w:cs="Calibri"/>
          <w:b/>
          <w:bCs/>
          <w:sz w:val="24"/>
          <w:szCs w:val="24"/>
          <w:lang w:val="en-US"/>
        </w:rPr>
        <w:t>.</w:t>
      </w:r>
      <w:r w:rsidR="00A1396F" w:rsidRPr="00BD51FA">
        <w:rPr>
          <w:rFonts w:ascii="Calibri" w:hAnsi="Calibri" w:cs="Calibri"/>
          <w:sz w:val="24"/>
          <w:szCs w:val="24"/>
          <w:lang w:val="en-US"/>
        </w:rPr>
        <w:t xml:space="preserve"> Distribution of mean catches of adult </w:t>
      </w:r>
      <w:r w:rsidR="00A1396F" w:rsidRPr="00BD51FA">
        <w:rPr>
          <w:rFonts w:ascii="Calibri" w:hAnsi="Calibri" w:cs="Calibri"/>
          <w:i/>
          <w:iCs/>
          <w:sz w:val="24"/>
          <w:szCs w:val="24"/>
          <w:lang w:val="en-US"/>
        </w:rPr>
        <w:t>Diabrotica virgifera virgifera</w:t>
      </w:r>
      <w:r w:rsidR="00A1396F" w:rsidRPr="00BD51FA">
        <w:rPr>
          <w:rFonts w:ascii="Calibri" w:hAnsi="Calibri" w:cs="Calibri"/>
          <w:sz w:val="24"/>
          <w:szCs w:val="24"/>
          <w:lang w:val="en-US"/>
        </w:rPr>
        <w:t xml:space="preserve"> in transparent and colored sticky traps (white, blue, orange, yellow, and fluorescent yellow) in 2014.</w:t>
      </w:r>
    </w:p>
    <w:p w:rsidR="00BD51FA" w:rsidRDefault="00BD51FA" w:rsidP="00BD51FA">
      <w:pPr>
        <w:spacing w:before="100" w:beforeAutospacing="1" w:after="100" w:afterAutospacing="1"/>
        <w:ind w:firstLine="0"/>
        <w:jc w:val="left"/>
        <w:outlineLvl w:val="2"/>
        <w:rPr>
          <w:rFonts w:ascii="Times New Roman" w:hAnsi="Times New Roman"/>
          <w:b/>
          <w:bCs/>
          <w:sz w:val="24"/>
          <w:szCs w:val="24"/>
          <w:lang w:val="en-US"/>
        </w:rPr>
      </w:pPr>
      <w:r w:rsidRPr="00A1396F">
        <w:rPr>
          <w:rFonts w:ascii="Times New Roman" w:hAnsi="Times New Roman"/>
          <w:b/>
          <w:bCs/>
          <w:sz w:val="24"/>
          <w:szCs w:val="24"/>
          <w:lang w:val="en-US"/>
        </w:rPr>
        <w:t xml:space="preserve">4.2.2. Monitoring of the </w:t>
      </w:r>
      <w:r w:rsidR="00521FC8">
        <w:rPr>
          <w:rFonts w:ascii="Times New Roman" w:hAnsi="Times New Roman"/>
          <w:b/>
          <w:bCs/>
          <w:sz w:val="24"/>
          <w:szCs w:val="24"/>
          <w:lang w:val="en-US"/>
        </w:rPr>
        <w:t>s</w:t>
      </w:r>
      <w:r w:rsidR="00521FC8" w:rsidRPr="00A1396F">
        <w:rPr>
          <w:rFonts w:ascii="Times New Roman" w:hAnsi="Times New Roman"/>
          <w:b/>
          <w:bCs/>
          <w:sz w:val="24"/>
          <w:szCs w:val="24"/>
          <w:lang w:val="en-US"/>
        </w:rPr>
        <w:t xml:space="preserve">easonal </w:t>
      </w:r>
      <w:r w:rsidR="00521FC8">
        <w:rPr>
          <w:rFonts w:ascii="Times New Roman" w:hAnsi="Times New Roman"/>
          <w:b/>
          <w:bCs/>
          <w:sz w:val="24"/>
          <w:szCs w:val="24"/>
          <w:lang w:val="en-US"/>
        </w:rPr>
        <w:t>a</w:t>
      </w:r>
      <w:r w:rsidR="00521FC8" w:rsidRPr="00A1396F">
        <w:rPr>
          <w:rFonts w:ascii="Times New Roman" w:hAnsi="Times New Roman"/>
          <w:b/>
          <w:bCs/>
          <w:sz w:val="24"/>
          <w:szCs w:val="24"/>
          <w:lang w:val="en-US"/>
        </w:rPr>
        <w:t xml:space="preserve">ctivity </w:t>
      </w:r>
      <w:r w:rsidRPr="00A1396F">
        <w:rPr>
          <w:rFonts w:ascii="Times New Roman" w:hAnsi="Times New Roman"/>
          <w:b/>
          <w:bCs/>
          <w:sz w:val="24"/>
          <w:szCs w:val="24"/>
          <w:lang w:val="en-US"/>
        </w:rPr>
        <w:t xml:space="preserve">of </w:t>
      </w:r>
      <w:r w:rsidRPr="00A1396F">
        <w:rPr>
          <w:rFonts w:ascii="Times New Roman" w:hAnsi="Times New Roman"/>
          <w:b/>
          <w:bCs/>
          <w:i/>
          <w:iCs/>
          <w:sz w:val="24"/>
          <w:szCs w:val="24"/>
          <w:lang w:val="en-US"/>
        </w:rPr>
        <w:t>Diabrotica virgifera virgifera</w:t>
      </w:r>
      <w:r w:rsidRPr="00A1396F">
        <w:rPr>
          <w:rFonts w:ascii="Times New Roman" w:hAnsi="Times New Roman"/>
          <w:b/>
          <w:bCs/>
          <w:sz w:val="24"/>
          <w:szCs w:val="24"/>
          <w:lang w:val="en-US"/>
        </w:rPr>
        <w:t xml:space="preserve"> </w:t>
      </w:r>
      <w:r w:rsidR="00521FC8">
        <w:rPr>
          <w:rFonts w:ascii="Times New Roman" w:hAnsi="Times New Roman"/>
          <w:b/>
          <w:bCs/>
          <w:sz w:val="24"/>
          <w:szCs w:val="24"/>
          <w:lang w:val="en-US"/>
        </w:rPr>
        <w:t>a</w:t>
      </w:r>
      <w:r w:rsidR="00521FC8" w:rsidRPr="00A1396F">
        <w:rPr>
          <w:rFonts w:ascii="Times New Roman" w:hAnsi="Times New Roman"/>
          <w:b/>
          <w:bCs/>
          <w:sz w:val="24"/>
          <w:szCs w:val="24"/>
          <w:lang w:val="en-US"/>
        </w:rPr>
        <w:t>dult</w:t>
      </w:r>
      <w:r w:rsidR="00521FC8">
        <w:rPr>
          <w:rFonts w:ascii="Times New Roman" w:hAnsi="Times New Roman"/>
          <w:b/>
          <w:bCs/>
          <w:sz w:val="24"/>
          <w:szCs w:val="24"/>
          <w:lang w:val="en-US"/>
        </w:rPr>
        <w:t>s</w:t>
      </w:r>
      <w:r w:rsidR="00521FC8" w:rsidRPr="00A1396F">
        <w:rPr>
          <w:rFonts w:ascii="Times New Roman" w:hAnsi="Times New Roman"/>
          <w:b/>
          <w:bCs/>
          <w:sz w:val="24"/>
          <w:szCs w:val="24"/>
          <w:lang w:val="en-US"/>
        </w:rPr>
        <w:t xml:space="preserve"> </w:t>
      </w:r>
      <w:r w:rsidR="00521FC8">
        <w:rPr>
          <w:rFonts w:ascii="Times New Roman" w:hAnsi="Times New Roman"/>
          <w:b/>
          <w:bCs/>
          <w:sz w:val="24"/>
          <w:szCs w:val="24"/>
          <w:lang w:val="en-US"/>
        </w:rPr>
        <w:t>u</w:t>
      </w:r>
      <w:r w:rsidR="00521FC8" w:rsidRPr="00A1396F">
        <w:rPr>
          <w:rFonts w:ascii="Times New Roman" w:hAnsi="Times New Roman"/>
          <w:b/>
          <w:bCs/>
          <w:sz w:val="24"/>
          <w:szCs w:val="24"/>
          <w:lang w:val="en-US"/>
        </w:rPr>
        <w:t xml:space="preserve">sing </w:t>
      </w:r>
      <w:r w:rsidRPr="00A1396F">
        <w:rPr>
          <w:rFonts w:ascii="Times New Roman" w:hAnsi="Times New Roman"/>
          <w:b/>
          <w:bCs/>
          <w:sz w:val="24"/>
          <w:szCs w:val="24"/>
          <w:lang w:val="en-US"/>
        </w:rPr>
        <w:t xml:space="preserve">KLP+ </w:t>
      </w:r>
      <w:r w:rsidR="00521FC8">
        <w:rPr>
          <w:rFonts w:ascii="Times New Roman" w:hAnsi="Times New Roman"/>
          <w:b/>
          <w:bCs/>
          <w:sz w:val="24"/>
          <w:szCs w:val="24"/>
          <w:lang w:val="en-US"/>
        </w:rPr>
        <w:t>t</w:t>
      </w:r>
      <w:r w:rsidR="00521FC8" w:rsidRPr="00A1396F">
        <w:rPr>
          <w:rFonts w:ascii="Times New Roman" w:hAnsi="Times New Roman"/>
          <w:b/>
          <w:bCs/>
          <w:sz w:val="24"/>
          <w:szCs w:val="24"/>
          <w:lang w:val="en-US"/>
        </w:rPr>
        <w:t xml:space="preserve">raps </w:t>
      </w:r>
      <w:r w:rsidRPr="00A1396F">
        <w:rPr>
          <w:rFonts w:ascii="Times New Roman" w:hAnsi="Times New Roman"/>
          <w:b/>
          <w:bCs/>
          <w:sz w:val="24"/>
          <w:szCs w:val="24"/>
          <w:lang w:val="en-US"/>
        </w:rPr>
        <w:t xml:space="preserve">with </w:t>
      </w:r>
      <w:r w:rsidR="00521FC8">
        <w:rPr>
          <w:rFonts w:ascii="Times New Roman" w:hAnsi="Times New Roman"/>
          <w:b/>
          <w:bCs/>
          <w:sz w:val="24"/>
          <w:szCs w:val="24"/>
          <w:lang w:val="en-US"/>
        </w:rPr>
        <w:t>p</w:t>
      </w:r>
      <w:r w:rsidR="00521FC8" w:rsidRPr="00A1396F">
        <w:rPr>
          <w:rFonts w:ascii="Times New Roman" w:hAnsi="Times New Roman"/>
          <w:b/>
          <w:bCs/>
          <w:sz w:val="24"/>
          <w:szCs w:val="24"/>
          <w:lang w:val="en-US"/>
        </w:rPr>
        <w:t xml:space="preserve">heromone </w:t>
      </w:r>
      <w:r w:rsidRPr="00A1396F">
        <w:rPr>
          <w:rFonts w:ascii="Times New Roman" w:hAnsi="Times New Roman"/>
          <w:b/>
          <w:bCs/>
          <w:sz w:val="24"/>
          <w:szCs w:val="24"/>
          <w:lang w:val="en-US"/>
        </w:rPr>
        <w:t xml:space="preserve">and </w:t>
      </w:r>
      <w:r w:rsidR="00521FC8">
        <w:rPr>
          <w:rFonts w:ascii="Times New Roman" w:hAnsi="Times New Roman"/>
          <w:b/>
          <w:bCs/>
          <w:sz w:val="24"/>
          <w:szCs w:val="24"/>
          <w:lang w:val="en-US"/>
        </w:rPr>
        <w:t>p</w:t>
      </w:r>
      <w:r w:rsidR="00521FC8" w:rsidRPr="00A1396F">
        <w:rPr>
          <w:rFonts w:ascii="Times New Roman" w:hAnsi="Times New Roman"/>
          <w:b/>
          <w:bCs/>
          <w:sz w:val="24"/>
          <w:szCs w:val="24"/>
          <w:lang w:val="en-US"/>
        </w:rPr>
        <w:t xml:space="preserve">lant </w:t>
      </w:r>
      <w:r w:rsidR="00521FC8">
        <w:rPr>
          <w:rFonts w:ascii="Times New Roman" w:hAnsi="Times New Roman"/>
          <w:b/>
          <w:bCs/>
          <w:sz w:val="24"/>
          <w:szCs w:val="24"/>
          <w:lang w:val="en-US"/>
        </w:rPr>
        <w:t>l</w:t>
      </w:r>
      <w:r w:rsidR="00521FC8" w:rsidRPr="00A1396F">
        <w:rPr>
          <w:rFonts w:ascii="Times New Roman" w:hAnsi="Times New Roman"/>
          <w:b/>
          <w:bCs/>
          <w:sz w:val="24"/>
          <w:szCs w:val="24"/>
          <w:lang w:val="en-US"/>
        </w:rPr>
        <w:t>ures</w:t>
      </w:r>
    </w:p>
    <w:p w:rsidR="00BD51FA" w:rsidRPr="00A1396F" w:rsidRDefault="00BD51FA" w:rsidP="00BD51FA">
      <w:pPr>
        <w:spacing w:before="100" w:beforeAutospacing="1" w:after="100" w:afterAutospacing="1"/>
        <w:ind w:firstLine="567"/>
        <w:rPr>
          <w:rFonts w:ascii="Times New Roman" w:hAnsi="Times New Roman"/>
          <w:b/>
          <w:bCs/>
          <w:sz w:val="24"/>
          <w:szCs w:val="24"/>
          <w:lang w:val="en-US"/>
        </w:rPr>
      </w:pPr>
      <w:r w:rsidRPr="00A1396F">
        <w:rPr>
          <w:rFonts w:ascii="Times New Roman" w:hAnsi="Times New Roman"/>
          <w:sz w:val="24"/>
          <w:szCs w:val="24"/>
          <w:lang w:val="en-US"/>
        </w:rPr>
        <w:t xml:space="preserve">In 2015, despite the timely deployment of traps in the field in mid-June and regular replacement of lures, the first captures of </w:t>
      </w:r>
      <w:r w:rsidRPr="00A1396F">
        <w:rPr>
          <w:rFonts w:ascii="Times New Roman" w:hAnsi="Times New Roman"/>
          <w:i/>
          <w:iCs/>
          <w:sz w:val="24"/>
          <w:szCs w:val="24"/>
          <w:lang w:val="en-US"/>
        </w:rPr>
        <w:t>D. v. virgifera</w:t>
      </w:r>
      <w:r w:rsidRPr="00A1396F">
        <w:rPr>
          <w:rFonts w:ascii="Times New Roman" w:hAnsi="Times New Roman"/>
          <w:sz w:val="24"/>
          <w:szCs w:val="24"/>
          <w:lang w:val="en-US"/>
        </w:rPr>
        <w:t xml:space="preserve"> were recorded only during the period 22–24 July 2015</w:t>
      </w:r>
      <w:r w:rsidR="00306AF7">
        <w:rPr>
          <w:rFonts w:ascii="Times New Roman" w:hAnsi="Times New Roman"/>
          <w:sz w:val="24"/>
          <w:szCs w:val="24"/>
          <w:lang w:val="en-US"/>
        </w:rPr>
        <w:t xml:space="preserve"> (Fig. 12)</w:t>
      </w:r>
      <w:r w:rsidRPr="00A1396F">
        <w:rPr>
          <w:rFonts w:ascii="Times New Roman" w:hAnsi="Times New Roman"/>
          <w:sz w:val="24"/>
          <w:szCs w:val="24"/>
          <w:lang w:val="en-US"/>
        </w:rPr>
        <w:t>. The highest mean catch was observed at the end of July, while the last captures occurred between 5 and 12 August 2015. In 2016, the first appearance of adults was recorded between 23 and 25 July</w:t>
      </w:r>
      <w:r w:rsidR="00306AF7">
        <w:rPr>
          <w:rFonts w:ascii="Times New Roman" w:hAnsi="Times New Roman"/>
          <w:sz w:val="24"/>
          <w:szCs w:val="24"/>
          <w:lang w:val="en-US"/>
        </w:rPr>
        <w:t xml:space="preserve"> (Fig. 13)</w:t>
      </w:r>
      <w:r w:rsidRPr="00A1396F">
        <w:rPr>
          <w:rFonts w:ascii="Times New Roman" w:hAnsi="Times New Roman"/>
          <w:sz w:val="24"/>
          <w:szCs w:val="24"/>
          <w:lang w:val="en-US"/>
        </w:rPr>
        <w:t>. The western corn rootworm was most abundant at the end of July and the beginning of August. In 2016, adult captures were recorded until early September.</w:t>
      </w:r>
    </w:p>
    <w:p w:rsidR="00BD51FA" w:rsidRDefault="00BD51FA" w:rsidP="00BD51FA">
      <w:pPr>
        <w:suppressLineNumbers/>
        <w:ind w:firstLine="562"/>
        <w:rPr>
          <w:rFonts w:ascii="Times New Roman" w:hAnsi="Times New Roman"/>
          <w:sz w:val="24"/>
          <w:szCs w:val="24"/>
          <w:lang w:val="en-US"/>
        </w:rPr>
      </w:pPr>
      <w:r w:rsidRPr="00A1396F">
        <w:rPr>
          <w:rFonts w:ascii="Times New Roman" w:hAnsi="Times New Roman"/>
          <w:sz w:val="24"/>
          <w:szCs w:val="24"/>
          <w:lang w:val="en-US"/>
        </w:rPr>
        <w:lastRenderedPageBreak/>
        <w:t xml:space="preserve">A relatively high population density of adult western corn rootworm at the </w:t>
      </w:r>
      <w:r w:rsidR="00306AF7">
        <w:rPr>
          <w:rFonts w:ascii="Times New Roman" w:hAnsi="Times New Roman"/>
          <w:sz w:val="24"/>
          <w:szCs w:val="24"/>
          <w:lang w:val="en-US"/>
        </w:rPr>
        <w:t>e</w:t>
      </w:r>
      <w:r w:rsidR="00306AF7" w:rsidRPr="00A1396F">
        <w:rPr>
          <w:rFonts w:ascii="Times New Roman" w:hAnsi="Times New Roman"/>
          <w:sz w:val="24"/>
          <w:szCs w:val="24"/>
          <w:lang w:val="en-US"/>
        </w:rPr>
        <w:t xml:space="preserve">xperimental </w:t>
      </w:r>
      <w:r w:rsidR="00306AF7">
        <w:rPr>
          <w:rFonts w:ascii="Times New Roman" w:hAnsi="Times New Roman"/>
          <w:sz w:val="24"/>
          <w:szCs w:val="24"/>
          <w:lang w:val="en-US"/>
        </w:rPr>
        <w:t>field</w:t>
      </w:r>
      <w:r w:rsidR="00306AF7" w:rsidRPr="00A1396F">
        <w:rPr>
          <w:rFonts w:ascii="Times New Roman" w:hAnsi="Times New Roman"/>
          <w:sz w:val="24"/>
          <w:szCs w:val="24"/>
          <w:lang w:val="en-US"/>
        </w:rPr>
        <w:t xml:space="preserve"> </w:t>
      </w:r>
      <w:r w:rsidRPr="00A1396F">
        <w:rPr>
          <w:rFonts w:ascii="Times New Roman" w:hAnsi="Times New Roman"/>
          <w:sz w:val="24"/>
          <w:szCs w:val="24"/>
          <w:lang w:val="en-US"/>
        </w:rPr>
        <w:t>in Knezha was recorded in 2016, with total trap catches approximately 60 times higher than those observed in 2015.</w:t>
      </w:r>
    </w:p>
    <w:p w:rsidR="00231A09" w:rsidRPr="006458E5" w:rsidRDefault="00231A09" w:rsidP="00BD51FA">
      <w:pPr>
        <w:suppressLineNumbers/>
        <w:ind w:firstLine="562"/>
        <w:rPr>
          <w:rFonts w:ascii="Times New Roman" w:hAnsi="Times New Roman"/>
          <w:sz w:val="24"/>
          <w:szCs w:val="24"/>
          <w:lang w:eastAsia="bg-BG"/>
        </w:rPr>
      </w:pPr>
    </w:p>
    <w:p w:rsidR="00BD51FA" w:rsidRDefault="00BA2DF8" w:rsidP="00BD51FA">
      <w:pPr>
        <w:ind w:firstLine="0"/>
        <w:rPr>
          <w:rFonts w:ascii="Calibri" w:hAnsi="Calibri"/>
          <w:b/>
          <w:lang w:eastAsia="bg-BG"/>
        </w:rPr>
      </w:pPr>
      <w:r>
        <w:rPr>
          <w:rFonts w:ascii="Times New Roman" w:hAnsi="Times New Roman"/>
          <w:sz w:val="24"/>
          <w:szCs w:val="24"/>
          <w:lang w:eastAsia="bg-BG"/>
        </w:rPr>
        <w:t xml:space="preserve">           </w:t>
      </w:r>
      <w:r w:rsidR="00FF3F58">
        <w:rPr>
          <w:rFonts w:ascii="Times New Roman" w:hAnsi="Times New Roman"/>
          <w:sz w:val="24"/>
          <w:szCs w:val="24"/>
          <w:lang w:eastAsia="bg-BG"/>
        </w:rPr>
        <w:t xml:space="preserve"> </w:t>
      </w:r>
      <w:r w:rsidR="00686510" w:rsidRPr="00686510">
        <w:rPr>
          <w:noProof/>
          <w:lang w:val="en-US"/>
        </w:rPr>
        <w:drawing>
          <wp:inline distT="0" distB="0" distL="0" distR="0" wp14:anchorId="7E3A152A" wp14:editId="154AF17C">
            <wp:extent cx="5398770" cy="2638425"/>
            <wp:effectExtent l="0" t="0" r="11430" b="9525"/>
            <wp:docPr id="15" name="Chart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BD51FA" w:rsidRPr="00BD51FA" w:rsidRDefault="00231A09" w:rsidP="00BD51FA">
      <w:pPr>
        <w:ind w:firstLine="0"/>
        <w:rPr>
          <w:rFonts w:cs="Calibri"/>
          <w:b/>
          <w:lang w:eastAsia="bg-BG"/>
        </w:rPr>
      </w:pPr>
      <w:r w:rsidRPr="00BD51FA">
        <w:rPr>
          <w:rFonts w:cs="Calibri"/>
          <w:b/>
          <w:bCs/>
          <w:sz w:val="24"/>
          <w:szCs w:val="24"/>
          <w:lang w:val="en-US"/>
        </w:rPr>
        <w:t>Fig</w:t>
      </w:r>
      <w:r>
        <w:rPr>
          <w:rFonts w:cs="Calibri"/>
          <w:b/>
          <w:bCs/>
          <w:sz w:val="24"/>
          <w:szCs w:val="24"/>
          <w:lang w:val="en-US"/>
        </w:rPr>
        <w:t>.</w:t>
      </w:r>
      <w:r w:rsidRPr="00BD51FA">
        <w:rPr>
          <w:rFonts w:cs="Calibri"/>
          <w:b/>
          <w:bCs/>
          <w:sz w:val="24"/>
          <w:szCs w:val="24"/>
          <w:lang w:val="en-US"/>
        </w:rPr>
        <w:t xml:space="preserve"> </w:t>
      </w:r>
      <w:r w:rsidR="00BD51FA" w:rsidRPr="00BD51FA">
        <w:rPr>
          <w:rFonts w:cs="Calibri"/>
          <w:b/>
          <w:bCs/>
          <w:sz w:val="24"/>
          <w:szCs w:val="24"/>
          <w:lang w:val="en-US"/>
        </w:rPr>
        <w:t>12.</w:t>
      </w:r>
      <w:r w:rsidR="00BD51FA" w:rsidRPr="00BD51FA">
        <w:rPr>
          <w:rFonts w:cs="Calibri"/>
          <w:bCs/>
          <w:sz w:val="24"/>
          <w:szCs w:val="24"/>
          <w:lang w:val="en-US"/>
        </w:rPr>
        <w:t xml:space="preserve"> Seasonal activity of adult individuals of </w:t>
      </w:r>
      <w:r w:rsidR="00BD51FA" w:rsidRPr="00BD51FA">
        <w:rPr>
          <w:rFonts w:cs="Calibri"/>
          <w:bCs/>
          <w:i/>
          <w:iCs/>
          <w:sz w:val="24"/>
          <w:szCs w:val="24"/>
          <w:lang w:val="en-US"/>
        </w:rPr>
        <w:t>D. v. virgifera</w:t>
      </w:r>
      <w:r w:rsidR="00BD51FA" w:rsidRPr="00BD51FA">
        <w:rPr>
          <w:rFonts w:cs="Calibri"/>
          <w:bCs/>
          <w:sz w:val="24"/>
          <w:szCs w:val="24"/>
          <w:lang w:val="en-US"/>
        </w:rPr>
        <w:t xml:space="preserve"> in 2015, determined using KLP+ traps equipped with a dual lure (pheromone and floral lure). Arrows indicate the dates of the beginning and end of the study period.</w:t>
      </w:r>
    </w:p>
    <w:p w:rsidR="00BD51FA" w:rsidRDefault="00BA2DF8" w:rsidP="00BD51FA">
      <w:pPr>
        <w:suppressLineNumbers/>
        <w:ind w:firstLine="0"/>
        <w:rPr>
          <w:rFonts w:ascii="Times New Roman" w:hAnsi="Times New Roman"/>
          <w:lang w:eastAsia="bg-BG"/>
        </w:rPr>
      </w:pPr>
      <w:r>
        <w:rPr>
          <w:rFonts w:ascii="Times New Roman" w:hAnsi="Times New Roman"/>
          <w:lang w:eastAsia="bg-BG"/>
        </w:rPr>
        <w:t xml:space="preserve">            </w:t>
      </w:r>
      <w:r w:rsidR="00686510" w:rsidRPr="00686510">
        <w:rPr>
          <w:noProof/>
          <w:lang w:val="en-US"/>
        </w:rPr>
        <w:drawing>
          <wp:inline distT="0" distB="0" distL="0" distR="0" wp14:anchorId="771ED405" wp14:editId="74B8C9EF">
            <wp:extent cx="5399405" cy="3004820"/>
            <wp:effectExtent l="0" t="0" r="10795" b="24130"/>
            <wp:docPr id="16"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BD51FA" w:rsidRPr="00BD51FA" w:rsidRDefault="00231A09" w:rsidP="00BD51FA">
      <w:pPr>
        <w:suppressLineNumbers/>
        <w:ind w:firstLine="0"/>
        <w:rPr>
          <w:rFonts w:ascii="Times New Roman" w:hAnsi="Times New Roman"/>
          <w:lang w:eastAsia="bg-BG"/>
        </w:rPr>
      </w:pPr>
      <w:r w:rsidRPr="00BD51FA">
        <w:rPr>
          <w:rFonts w:cs="Calibri"/>
          <w:b/>
          <w:bCs/>
          <w:sz w:val="24"/>
          <w:szCs w:val="24"/>
          <w:lang w:val="en-US"/>
        </w:rPr>
        <w:t>Fig</w:t>
      </w:r>
      <w:r>
        <w:rPr>
          <w:rFonts w:cs="Calibri"/>
          <w:b/>
          <w:bCs/>
          <w:sz w:val="24"/>
          <w:szCs w:val="24"/>
          <w:lang w:val="en-US"/>
        </w:rPr>
        <w:t>.</w:t>
      </w:r>
      <w:r w:rsidRPr="00BD51FA">
        <w:rPr>
          <w:rFonts w:cs="Calibri"/>
          <w:b/>
          <w:bCs/>
          <w:sz w:val="24"/>
          <w:szCs w:val="24"/>
          <w:lang w:val="en-US"/>
        </w:rPr>
        <w:t xml:space="preserve"> </w:t>
      </w:r>
      <w:r w:rsidR="00BD51FA" w:rsidRPr="00BD51FA">
        <w:rPr>
          <w:rFonts w:cs="Calibri"/>
          <w:b/>
          <w:bCs/>
          <w:sz w:val="24"/>
          <w:szCs w:val="24"/>
          <w:lang w:val="en-US"/>
        </w:rPr>
        <w:t>13.</w:t>
      </w:r>
      <w:r w:rsidR="00BD51FA" w:rsidRPr="00BD51FA">
        <w:rPr>
          <w:rFonts w:cs="Calibri"/>
          <w:bCs/>
          <w:sz w:val="24"/>
          <w:szCs w:val="24"/>
          <w:lang w:val="en-US"/>
        </w:rPr>
        <w:t xml:space="preserve"> Seasonal activity of adult individuals of </w:t>
      </w:r>
      <w:r w:rsidR="00BD51FA" w:rsidRPr="00BD51FA">
        <w:rPr>
          <w:rFonts w:cs="Calibri"/>
          <w:bCs/>
          <w:i/>
          <w:iCs/>
          <w:sz w:val="24"/>
          <w:szCs w:val="24"/>
          <w:lang w:val="en-US"/>
        </w:rPr>
        <w:t>D. v. virgifera</w:t>
      </w:r>
      <w:r w:rsidR="00BD51FA" w:rsidRPr="00BD51FA">
        <w:rPr>
          <w:rFonts w:cs="Calibri"/>
          <w:bCs/>
          <w:sz w:val="24"/>
          <w:szCs w:val="24"/>
          <w:lang w:val="en-US"/>
        </w:rPr>
        <w:t xml:space="preserve"> in 2016.</w:t>
      </w:r>
    </w:p>
    <w:bookmarkEnd w:id="1"/>
    <w:p w:rsidR="002F7624" w:rsidRDefault="00A1396F" w:rsidP="002F7624">
      <w:pPr>
        <w:spacing w:before="100" w:beforeAutospacing="1" w:after="100" w:afterAutospacing="1"/>
        <w:ind w:firstLine="0"/>
        <w:jc w:val="left"/>
        <w:outlineLvl w:val="2"/>
        <w:rPr>
          <w:rFonts w:ascii="Times New Roman" w:hAnsi="Times New Roman"/>
          <w:b/>
          <w:bCs/>
          <w:sz w:val="24"/>
          <w:szCs w:val="24"/>
          <w:lang w:val="en-US"/>
        </w:rPr>
      </w:pPr>
      <w:r w:rsidRPr="00A1396F">
        <w:rPr>
          <w:rFonts w:ascii="Times New Roman" w:hAnsi="Times New Roman"/>
          <w:b/>
          <w:bCs/>
          <w:sz w:val="24"/>
          <w:szCs w:val="24"/>
          <w:lang w:val="en-US"/>
        </w:rPr>
        <w:lastRenderedPageBreak/>
        <w:t xml:space="preserve">4.2.3. Effect of </w:t>
      </w:r>
      <w:r w:rsidR="007C1FF8">
        <w:rPr>
          <w:rFonts w:ascii="Times New Roman" w:hAnsi="Times New Roman"/>
          <w:b/>
          <w:bCs/>
          <w:sz w:val="24"/>
          <w:szCs w:val="24"/>
          <w:lang w:val="en-US"/>
        </w:rPr>
        <w:t>y</w:t>
      </w:r>
      <w:r w:rsidR="007C1FF8" w:rsidRPr="00A1396F">
        <w:rPr>
          <w:rFonts w:ascii="Times New Roman" w:hAnsi="Times New Roman"/>
          <w:b/>
          <w:bCs/>
          <w:sz w:val="24"/>
          <w:szCs w:val="24"/>
          <w:lang w:val="en-US"/>
        </w:rPr>
        <w:t xml:space="preserve">ellow </w:t>
      </w:r>
      <w:r w:rsidR="007C1FF8">
        <w:rPr>
          <w:rFonts w:ascii="Times New Roman" w:hAnsi="Times New Roman"/>
          <w:b/>
          <w:bCs/>
          <w:sz w:val="24"/>
          <w:szCs w:val="24"/>
          <w:lang w:val="en-US"/>
        </w:rPr>
        <w:t>c</w:t>
      </w:r>
      <w:r w:rsidR="007C1FF8" w:rsidRPr="00A1396F">
        <w:rPr>
          <w:rFonts w:ascii="Times New Roman" w:hAnsi="Times New Roman"/>
          <w:b/>
          <w:bCs/>
          <w:sz w:val="24"/>
          <w:szCs w:val="24"/>
          <w:lang w:val="en-US"/>
        </w:rPr>
        <w:t xml:space="preserve">olour </w:t>
      </w:r>
      <w:r w:rsidR="007C1FF8">
        <w:rPr>
          <w:rFonts w:ascii="Times New Roman" w:hAnsi="Times New Roman"/>
          <w:b/>
          <w:bCs/>
          <w:sz w:val="24"/>
          <w:szCs w:val="24"/>
          <w:lang w:val="en-US"/>
        </w:rPr>
        <w:t>h</w:t>
      </w:r>
      <w:r w:rsidR="007C1FF8" w:rsidRPr="00A1396F">
        <w:rPr>
          <w:rFonts w:ascii="Times New Roman" w:hAnsi="Times New Roman"/>
          <w:b/>
          <w:bCs/>
          <w:sz w:val="24"/>
          <w:szCs w:val="24"/>
          <w:lang w:val="en-US"/>
        </w:rPr>
        <w:t xml:space="preserve">ue </w:t>
      </w:r>
      <w:r w:rsidR="00E8207F">
        <w:rPr>
          <w:rFonts w:ascii="Times New Roman" w:hAnsi="Times New Roman"/>
          <w:b/>
          <w:bCs/>
          <w:sz w:val="24"/>
          <w:szCs w:val="24"/>
          <w:lang w:val="en-US"/>
        </w:rPr>
        <w:t xml:space="preserve">of the trap in </w:t>
      </w:r>
      <w:r w:rsidR="007C1FF8">
        <w:rPr>
          <w:rFonts w:ascii="Times New Roman" w:hAnsi="Times New Roman"/>
          <w:b/>
          <w:bCs/>
          <w:sz w:val="24"/>
          <w:szCs w:val="24"/>
          <w:lang w:val="en-US"/>
        </w:rPr>
        <w:t>c</w:t>
      </w:r>
      <w:r w:rsidR="007C1FF8" w:rsidRPr="00A1396F">
        <w:rPr>
          <w:rFonts w:ascii="Times New Roman" w:hAnsi="Times New Roman"/>
          <w:b/>
          <w:bCs/>
          <w:sz w:val="24"/>
          <w:szCs w:val="24"/>
          <w:lang w:val="en-US"/>
        </w:rPr>
        <w:t>ombin</w:t>
      </w:r>
      <w:r w:rsidR="00793ACB">
        <w:rPr>
          <w:rFonts w:ascii="Times New Roman" w:hAnsi="Times New Roman"/>
          <w:b/>
          <w:bCs/>
          <w:sz w:val="24"/>
          <w:szCs w:val="24"/>
          <w:lang w:val="en-US"/>
        </w:rPr>
        <w:t>ation</w:t>
      </w:r>
      <w:r w:rsidR="007C1FF8" w:rsidRPr="00A1396F">
        <w:rPr>
          <w:rFonts w:ascii="Times New Roman" w:hAnsi="Times New Roman"/>
          <w:b/>
          <w:bCs/>
          <w:sz w:val="24"/>
          <w:szCs w:val="24"/>
          <w:lang w:val="en-US"/>
        </w:rPr>
        <w:t xml:space="preserve"> </w:t>
      </w:r>
      <w:r w:rsidRPr="00A1396F">
        <w:rPr>
          <w:rFonts w:ascii="Times New Roman" w:hAnsi="Times New Roman"/>
          <w:b/>
          <w:bCs/>
          <w:sz w:val="24"/>
          <w:szCs w:val="24"/>
          <w:lang w:val="en-US"/>
        </w:rPr>
        <w:t xml:space="preserve">with </w:t>
      </w:r>
      <w:r w:rsidR="007C1FF8">
        <w:rPr>
          <w:rFonts w:ascii="Times New Roman" w:hAnsi="Times New Roman"/>
          <w:b/>
          <w:bCs/>
          <w:sz w:val="24"/>
          <w:szCs w:val="24"/>
          <w:lang w:val="en-US"/>
        </w:rPr>
        <w:t>p</w:t>
      </w:r>
      <w:r w:rsidR="007C1FF8" w:rsidRPr="00A1396F">
        <w:rPr>
          <w:rFonts w:ascii="Times New Roman" w:hAnsi="Times New Roman"/>
          <w:b/>
          <w:bCs/>
          <w:sz w:val="24"/>
          <w:szCs w:val="24"/>
          <w:lang w:val="en-US"/>
        </w:rPr>
        <w:t xml:space="preserve">heromone </w:t>
      </w:r>
      <w:r w:rsidRPr="00A1396F">
        <w:rPr>
          <w:rFonts w:ascii="Times New Roman" w:hAnsi="Times New Roman"/>
          <w:b/>
          <w:bCs/>
          <w:sz w:val="24"/>
          <w:szCs w:val="24"/>
          <w:lang w:val="en-US"/>
        </w:rPr>
        <w:t xml:space="preserve">and </w:t>
      </w:r>
      <w:r w:rsidR="007C1FF8">
        <w:rPr>
          <w:rFonts w:ascii="Times New Roman" w:hAnsi="Times New Roman"/>
          <w:b/>
          <w:bCs/>
          <w:sz w:val="24"/>
          <w:szCs w:val="24"/>
          <w:lang w:val="en-US"/>
        </w:rPr>
        <w:t>p</w:t>
      </w:r>
      <w:r w:rsidR="007C1FF8" w:rsidRPr="00A1396F">
        <w:rPr>
          <w:rFonts w:ascii="Times New Roman" w:hAnsi="Times New Roman"/>
          <w:b/>
          <w:bCs/>
          <w:sz w:val="24"/>
          <w:szCs w:val="24"/>
          <w:lang w:val="en-US"/>
        </w:rPr>
        <w:t xml:space="preserve">lant </w:t>
      </w:r>
      <w:r w:rsidR="007C1FF8">
        <w:rPr>
          <w:rFonts w:ascii="Times New Roman" w:hAnsi="Times New Roman"/>
          <w:b/>
          <w:bCs/>
          <w:sz w:val="24"/>
          <w:szCs w:val="24"/>
          <w:lang w:val="en-US"/>
        </w:rPr>
        <w:t>l</w:t>
      </w:r>
      <w:r w:rsidR="007C1FF8" w:rsidRPr="00A1396F">
        <w:rPr>
          <w:rFonts w:ascii="Times New Roman" w:hAnsi="Times New Roman"/>
          <w:b/>
          <w:bCs/>
          <w:sz w:val="24"/>
          <w:szCs w:val="24"/>
          <w:lang w:val="en-US"/>
        </w:rPr>
        <w:t>ures</w:t>
      </w:r>
    </w:p>
    <w:p w:rsidR="00A1396F" w:rsidRPr="002F7624" w:rsidRDefault="00A1396F" w:rsidP="00411228">
      <w:pPr>
        <w:spacing w:before="100" w:beforeAutospacing="1" w:after="100" w:afterAutospacing="1"/>
        <w:ind w:firstLine="567"/>
        <w:outlineLvl w:val="2"/>
        <w:rPr>
          <w:rFonts w:ascii="Times New Roman" w:hAnsi="Times New Roman"/>
          <w:b/>
          <w:bCs/>
          <w:sz w:val="24"/>
          <w:szCs w:val="24"/>
          <w:lang w:val="en-US"/>
        </w:rPr>
      </w:pPr>
      <w:r w:rsidRPr="00A1396F">
        <w:rPr>
          <w:rFonts w:ascii="Times New Roman" w:hAnsi="Times New Roman"/>
          <w:sz w:val="24"/>
          <w:szCs w:val="24"/>
          <w:lang w:val="en-US"/>
        </w:rPr>
        <w:t>In 2017 and 2018, no statistically significant differences were found between catches in yellow and fluorescent yellow KLP+ traps baited with pheromone and plant lures at the same trap height. In 2017, higher catches were recorded in yellow traps, whereas in 2018</w:t>
      </w:r>
      <w:r w:rsidR="00306AF7">
        <w:rPr>
          <w:rFonts w:ascii="Times New Roman" w:hAnsi="Times New Roman"/>
          <w:sz w:val="24"/>
          <w:szCs w:val="24"/>
          <w:lang w:val="en-US"/>
        </w:rPr>
        <w:t xml:space="preserve"> </w:t>
      </w:r>
      <w:r w:rsidRPr="00A1396F">
        <w:rPr>
          <w:rFonts w:ascii="Times New Roman" w:hAnsi="Times New Roman"/>
          <w:sz w:val="24"/>
          <w:szCs w:val="24"/>
          <w:lang w:val="en-US"/>
        </w:rPr>
        <w:t xml:space="preserve">when the population density of </w:t>
      </w:r>
      <w:r w:rsidRPr="00A1396F">
        <w:rPr>
          <w:rFonts w:ascii="Times New Roman" w:hAnsi="Times New Roman"/>
          <w:i/>
          <w:iCs/>
          <w:sz w:val="24"/>
          <w:szCs w:val="24"/>
          <w:lang w:val="en-US"/>
        </w:rPr>
        <w:t>D. v. virgifera</w:t>
      </w:r>
      <w:r w:rsidRPr="00A1396F">
        <w:rPr>
          <w:rFonts w:ascii="Times New Roman" w:hAnsi="Times New Roman"/>
          <w:sz w:val="24"/>
          <w:szCs w:val="24"/>
          <w:lang w:val="en-US"/>
        </w:rPr>
        <w:t xml:space="preserve"> was relatively higher</w:t>
      </w:r>
      <w:r w:rsidR="00FF3F58">
        <w:rPr>
          <w:rFonts w:ascii="Times New Roman" w:hAnsi="Times New Roman"/>
          <w:sz w:val="24"/>
          <w:szCs w:val="24"/>
          <w:lang w:val="en-US"/>
        </w:rPr>
        <w:t xml:space="preserve"> </w:t>
      </w:r>
      <w:r w:rsidRPr="00A1396F">
        <w:rPr>
          <w:rFonts w:ascii="Times New Roman" w:hAnsi="Times New Roman"/>
          <w:sz w:val="24"/>
          <w:szCs w:val="24"/>
          <w:lang w:val="en-US"/>
        </w:rPr>
        <w:t>beetles were more abundant in fluorescent yellow traps.</w:t>
      </w:r>
    </w:p>
    <w:p w:rsidR="00A1396F" w:rsidRPr="00A1396F" w:rsidRDefault="00A1396F" w:rsidP="00A1396F">
      <w:pPr>
        <w:spacing w:before="100" w:beforeAutospacing="1" w:after="100" w:afterAutospacing="1"/>
        <w:ind w:firstLine="0"/>
        <w:jc w:val="left"/>
        <w:outlineLvl w:val="2"/>
        <w:rPr>
          <w:rFonts w:ascii="Times New Roman" w:hAnsi="Times New Roman"/>
          <w:b/>
          <w:bCs/>
          <w:sz w:val="24"/>
          <w:szCs w:val="24"/>
          <w:lang w:val="en-US"/>
        </w:rPr>
      </w:pPr>
      <w:r w:rsidRPr="00A1396F">
        <w:rPr>
          <w:rFonts w:ascii="Times New Roman" w:hAnsi="Times New Roman"/>
          <w:b/>
          <w:bCs/>
          <w:sz w:val="24"/>
          <w:szCs w:val="24"/>
          <w:lang w:val="en-US"/>
        </w:rPr>
        <w:t xml:space="preserve">4.2.4. Monitoring of the </w:t>
      </w:r>
      <w:r w:rsidR="007C1FF8">
        <w:rPr>
          <w:rFonts w:ascii="Times New Roman" w:hAnsi="Times New Roman"/>
          <w:b/>
          <w:bCs/>
          <w:sz w:val="24"/>
          <w:szCs w:val="24"/>
          <w:lang w:val="en-US"/>
        </w:rPr>
        <w:t>s</w:t>
      </w:r>
      <w:r w:rsidR="007C1FF8" w:rsidRPr="00A1396F">
        <w:rPr>
          <w:rFonts w:ascii="Times New Roman" w:hAnsi="Times New Roman"/>
          <w:b/>
          <w:bCs/>
          <w:sz w:val="24"/>
          <w:szCs w:val="24"/>
          <w:lang w:val="en-US"/>
        </w:rPr>
        <w:t xml:space="preserve">easonal </w:t>
      </w:r>
      <w:r w:rsidR="007C1FF8">
        <w:rPr>
          <w:rFonts w:ascii="Times New Roman" w:hAnsi="Times New Roman"/>
          <w:b/>
          <w:bCs/>
          <w:sz w:val="24"/>
          <w:szCs w:val="24"/>
          <w:lang w:val="en-US"/>
        </w:rPr>
        <w:t>a</w:t>
      </w:r>
      <w:r w:rsidR="007C1FF8" w:rsidRPr="00A1396F">
        <w:rPr>
          <w:rFonts w:ascii="Times New Roman" w:hAnsi="Times New Roman"/>
          <w:b/>
          <w:bCs/>
          <w:sz w:val="24"/>
          <w:szCs w:val="24"/>
          <w:lang w:val="en-US"/>
        </w:rPr>
        <w:t xml:space="preserve">ctivity </w:t>
      </w:r>
      <w:r w:rsidRPr="00A1396F">
        <w:rPr>
          <w:rFonts w:ascii="Times New Roman" w:hAnsi="Times New Roman"/>
          <w:b/>
          <w:bCs/>
          <w:sz w:val="24"/>
          <w:szCs w:val="24"/>
          <w:lang w:val="en-US"/>
        </w:rPr>
        <w:t xml:space="preserve">of </w:t>
      </w:r>
      <w:r w:rsidRPr="00A1396F">
        <w:rPr>
          <w:rFonts w:ascii="Times New Roman" w:hAnsi="Times New Roman"/>
          <w:b/>
          <w:bCs/>
          <w:i/>
          <w:iCs/>
          <w:sz w:val="24"/>
          <w:szCs w:val="24"/>
          <w:lang w:val="en-US"/>
        </w:rPr>
        <w:t>Diabrotica virgifera virgifera</w:t>
      </w:r>
      <w:r w:rsidRPr="00A1396F">
        <w:rPr>
          <w:rFonts w:ascii="Times New Roman" w:hAnsi="Times New Roman"/>
          <w:b/>
          <w:bCs/>
          <w:sz w:val="24"/>
          <w:szCs w:val="24"/>
          <w:lang w:val="en-US"/>
        </w:rPr>
        <w:t xml:space="preserve"> </w:t>
      </w:r>
      <w:r w:rsidR="007C1FF8">
        <w:rPr>
          <w:rFonts w:ascii="Times New Roman" w:hAnsi="Times New Roman"/>
          <w:b/>
          <w:bCs/>
          <w:sz w:val="24"/>
          <w:szCs w:val="24"/>
          <w:lang w:val="en-US"/>
        </w:rPr>
        <w:t>a</w:t>
      </w:r>
      <w:r w:rsidR="007C1FF8" w:rsidRPr="00A1396F">
        <w:rPr>
          <w:rFonts w:ascii="Times New Roman" w:hAnsi="Times New Roman"/>
          <w:b/>
          <w:bCs/>
          <w:sz w:val="24"/>
          <w:szCs w:val="24"/>
          <w:lang w:val="en-US"/>
        </w:rPr>
        <w:t>dult</w:t>
      </w:r>
      <w:r w:rsidR="007C1FF8">
        <w:rPr>
          <w:rFonts w:ascii="Times New Roman" w:hAnsi="Times New Roman"/>
          <w:b/>
          <w:bCs/>
          <w:sz w:val="24"/>
          <w:szCs w:val="24"/>
          <w:lang w:val="en-US"/>
        </w:rPr>
        <w:t>s</w:t>
      </w:r>
      <w:r w:rsidR="007C1FF8" w:rsidRPr="00A1396F">
        <w:rPr>
          <w:rFonts w:ascii="Times New Roman" w:hAnsi="Times New Roman"/>
          <w:b/>
          <w:bCs/>
          <w:sz w:val="24"/>
          <w:szCs w:val="24"/>
          <w:lang w:val="en-US"/>
        </w:rPr>
        <w:t xml:space="preserve"> </w:t>
      </w:r>
      <w:r w:rsidRPr="00A1396F">
        <w:rPr>
          <w:rFonts w:ascii="Times New Roman" w:hAnsi="Times New Roman"/>
          <w:b/>
          <w:bCs/>
          <w:sz w:val="24"/>
          <w:szCs w:val="24"/>
          <w:lang w:val="en-US"/>
        </w:rPr>
        <w:t xml:space="preserve">in </w:t>
      </w:r>
      <w:r w:rsidR="007C1FF8">
        <w:rPr>
          <w:rFonts w:ascii="Times New Roman" w:hAnsi="Times New Roman"/>
          <w:b/>
          <w:bCs/>
          <w:sz w:val="24"/>
          <w:szCs w:val="24"/>
          <w:lang w:val="en-US"/>
        </w:rPr>
        <w:t>m</w:t>
      </w:r>
      <w:r w:rsidR="007C1FF8" w:rsidRPr="00A1396F">
        <w:rPr>
          <w:rFonts w:ascii="Times New Roman" w:hAnsi="Times New Roman"/>
          <w:b/>
          <w:bCs/>
          <w:sz w:val="24"/>
          <w:szCs w:val="24"/>
          <w:lang w:val="en-US"/>
        </w:rPr>
        <w:t xml:space="preserve">aize </w:t>
      </w:r>
      <w:r w:rsidR="007C1FF8">
        <w:rPr>
          <w:rFonts w:ascii="Times New Roman" w:hAnsi="Times New Roman"/>
          <w:b/>
          <w:bCs/>
          <w:sz w:val="24"/>
          <w:szCs w:val="24"/>
          <w:lang w:val="en-US"/>
        </w:rPr>
        <w:t>c</w:t>
      </w:r>
      <w:r w:rsidR="007C1FF8" w:rsidRPr="00A1396F">
        <w:rPr>
          <w:rFonts w:ascii="Times New Roman" w:hAnsi="Times New Roman"/>
          <w:b/>
          <w:bCs/>
          <w:sz w:val="24"/>
          <w:szCs w:val="24"/>
          <w:lang w:val="en-US"/>
        </w:rPr>
        <w:t xml:space="preserve">rops </w:t>
      </w:r>
      <w:r w:rsidRPr="00A1396F">
        <w:rPr>
          <w:rFonts w:ascii="Times New Roman" w:hAnsi="Times New Roman"/>
          <w:b/>
          <w:bCs/>
          <w:sz w:val="24"/>
          <w:szCs w:val="24"/>
          <w:lang w:val="en-US"/>
        </w:rPr>
        <w:t xml:space="preserve">with </w:t>
      </w:r>
      <w:r w:rsidR="007C1FF8">
        <w:rPr>
          <w:rFonts w:ascii="Times New Roman" w:hAnsi="Times New Roman"/>
          <w:b/>
          <w:bCs/>
          <w:sz w:val="24"/>
          <w:szCs w:val="24"/>
          <w:lang w:val="en-US"/>
        </w:rPr>
        <w:t>d</w:t>
      </w:r>
      <w:r w:rsidR="007C1FF8" w:rsidRPr="00A1396F">
        <w:rPr>
          <w:rFonts w:ascii="Times New Roman" w:hAnsi="Times New Roman"/>
          <w:b/>
          <w:bCs/>
          <w:sz w:val="24"/>
          <w:szCs w:val="24"/>
          <w:lang w:val="en-US"/>
        </w:rPr>
        <w:t xml:space="preserve">ifferent </w:t>
      </w:r>
      <w:r w:rsidR="007C1FF8">
        <w:rPr>
          <w:rFonts w:ascii="Times New Roman" w:hAnsi="Times New Roman"/>
          <w:b/>
          <w:bCs/>
          <w:sz w:val="24"/>
          <w:szCs w:val="24"/>
          <w:lang w:val="en-US"/>
        </w:rPr>
        <w:t>s</w:t>
      </w:r>
      <w:r w:rsidR="007C1FF8" w:rsidRPr="00A1396F">
        <w:rPr>
          <w:rFonts w:ascii="Times New Roman" w:hAnsi="Times New Roman"/>
          <w:b/>
          <w:bCs/>
          <w:sz w:val="24"/>
          <w:szCs w:val="24"/>
          <w:lang w:val="en-US"/>
        </w:rPr>
        <w:t xml:space="preserve">eed </w:t>
      </w:r>
      <w:r w:rsidR="007C1FF8">
        <w:rPr>
          <w:rFonts w:ascii="Times New Roman" w:hAnsi="Times New Roman"/>
          <w:b/>
          <w:bCs/>
          <w:sz w:val="24"/>
          <w:szCs w:val="24"/>
          <w:lang w:val="en-US"/>
        </w:rPr>
        <w:t>t</w:t>
      </w:r>
      <w:r w:rsidR="007C1FF8" w:rsidRPr="00A1396F">
        <w:rPr>
          <w:rFonts w:ascii="Times New Roman" w:hAnsi="Times New Roman"/>
          <w:b/>
          <w:bCs/>
          <w:sz w:val="24"/>
          <w:szCs w:val="24"/>
          <w:lang w:val="en-US"/>
        </w:rPr>
        <w:t xml:space="preserve">reatments </w:t>
      </w:r>
      <w:r w:rsidRPr="00A1396F">
        <w:rPr>
          <w:rFonts w:ascii="Times New Roman" w:hAnsi="Times New Roman"/>
          <w:b/>
          <w:bCs/>
          <w:sz w:val="24"/>
          <w:szCs w:val="24"/>
          <w:lang w:val="en-US"/>
        </w:rPr>
        <w:t>(</w:t>
      </w:r>
      <w:r w:rsidR="007C1FF8">
        <w:rPr>
          <w:rFonts w:ascii="Times New Roman" w:hAnsi="Times New Roman"/>
          <w:b/>
          <w:bCs/>
          <w:sz w:val="24"/>
          <w:szCs w:val="24"/>
          <w:lang w:val="en-US"/>
        </w:rPr>
        <w:t>b</w:t>
      </w:r>
      <w:r w:rsidR="007C1FF8" w:rsidRPr="00A1396F">
        <w:rPr>
          <w:rFonts w:ascii="Times New Roman" w:hAnsi="Times New Roman"/>
          <w:b/>
          <w:bCs/>
          <w:sz w:val="24"/>
          <w:szCs w:val="24"/>
          <w:lang w:val="en-US"/>
        </w:rPr>
        <w:t xml:space="preserve">iological </w:t>
      </w:r>
      <w:r w:rsidRPr="00A1396F">
        <w:rPr>
          <w:rFonts w:ascii="Times New Roman" w:hAnsi="Times New Roman"/>
          <w:b/>
          <w:bCs/>
          <w:sz w:val="24"/>
          <w:szCs w:val="24"/>
          <w:lang w:val="en-US"/>
        </w:rPr>
        <w:t xml:space="preserve">and </w:t>
      </w:r>
      <w:r w:rsidR="007C1FF8">
        <w:rPr>
          <w:rFonts w:ascii="Times New Roman" w:hAnsi="Times New Roman"/>
          <w:b/>
          <w:bCs/>
          <w:sz w:val="24"/>
          <w:szCs w:val="24"/>
          <w:lang w:val="en-US"/>
        </w:rPr>
        <w:t>c</w:t>
      </w:r>
      <w:r w:rsidR="007C1FF8" w:rsidRPr="00A1396F">
        <w:rPr>
          <w:rFonts w:ascii="Times New Roman" w:hAnsi="Times New Roman"/>
          <w:b/>
          <w:bCs/>
          <w:sz w:val="24"/>
          <w:szCs w:val="24"/>
          <w:lang w:val="en-US"/>
        </w:rPr>
        <w:t>hemical</w:t>
      </w:r>
      <w:r w:rsidRPr="00A1396F">
        <w:rPr>
          <w:rFonts w:ascii="Times New Roman" w:hAnsi="Times New Roman"/>
          <w:b/>
          <w:bCs/>
          <w:sz w:val="24"/>
          <w:szCs w:val="24"/>
          <w:lang w:val="en-US"/>
        </w:rPr>
        <w:t>)</w:t>
      </w:r>
    </w:p>
    <w:p w:rsidR="00A1396F" w:rsidRPr="00A1396F" w:rsidRDefault="00A1396F" w:rsidP="00306AF7">
      <w:pPr>
        <w:spacing w:before="100" w:beforeAutospacing="1" w:after="100" w:afterAutospacing="1"/>
        <w:ind w:firstLine="567"/>
        <w:jc w:val="left"/>
        <w:rPr>
          <w:rFonts w:ascii="Times New Roman" w:hAnsi="Times New Roman"/>
          <w:sz w:val="24"/>
          <w:szCs w:val="24"/>
          <w:lang w:val="en-US"/>
        </w:rPr>
      </w:pPr>
      <w:r w:rsidRPr="00A1396F">
        <w:rPr>
          <w:rFonts w:ascii="Times New Roman" w:hAnsi="Times New Roman"/>
          <w:sz w:val="24"/>
          <w:szCs w:val="24"/>
          <w:lang w:val="en-US"/>
        </w:rPr>
        <w:t xml:space="preserve">In 2022, similar abundances of adult </w:t>
      </w:r>
      <w:r w:rsidRPr="00A1396F">
        <w:rPr>
          <w:rFonts w:ascii="Times New Roman" w:hAnsi="Times New Roman"/>
          <w:i/>
          <w:iCs/>
          <w:sz w:val="24"/>
          <w:szCs w:val="24"/>
          <w:lang w:val="en-US"/>
        </w:rPr>
        <w:t>D. v. virgifera</w:t>
      </w:r>
      <w:r w:rsidRPr="00A1396F">
        <w:rPr>
          <w:rFonts w:ascii="Times New Roman" w:hAnsi="Times New Roman"/>
          <w:sz w:val="24"/>
          <w:szCs w:val="24"/>
          <w:lang w:val="en-US"/>
        </w:rPr>
        <w:t xml:space="preserve"> were recorded in maize fields with different seed treatments throughout the study period. The onset of flight activity was missed. Captures were recorded from late June to early September, with peak abundance occurring in July.</w:t>
      </w:r>
    </w:p>
    <w:p w:rsidR="00A1396F" w:rsidRDefault="00A1396F" w:rsidP="00BF6A3C">
      <w:pPr>
        <w:ind w:firstLine="567"/>
        <w:jc w:val="left"/>
        <w:outlineLvl w:val="2"/>
        <w:rPr>
          <w:rFonts w:ascii="Times New Roman" w:hAnsi="Times New Roman"/>
          <w:b/>
          <w:bCs/>
          <w:sz w:val="24"/>
          <w:szCs w:val="24"/>
          <w:lang w:val="en-US"/>
        </w:rPr>
      </w:pPr>
      <w:r w:rsidRPr="00A1396F">
        <w:rPr>
          <w:rFonts w:ascii="Times New Roman" w:hAnsi="Times New Roman"/>
          <w:b/>
          <w:bCs/>
          <w:sz w:val="24"/>
          <w:szCs w:val="24"/>
          <w:lang w:val="en-US"/>
        </w:rPr>
        <w:t xml:space="preserve">4.2.5. Effect of </w:t>
      </w:r>
      <w:r w:rsidR="00FC1FD4">
        <w:rPr>
          <w:rFonts w:ascii="Times New Roman" w:hAnsi="Times New Roman"/>
          <w:b/>
          <w:bCs/>
          <w:sz w:val="24"/>
          <w:szCs w:val="24"/>
          <w:lang w:val="en-US"/>
        </w:rPr>
        <w:t>w</w:t>
      </w:r>
      <w:r w:rsidR="00FC1FD4" w:rsidRPr="00A1396F">
        <w:rPr>
          <w:rFonts w:ascii="Times New Roman" w:hAnsi="Times New Roman"/>
          <w:b/>
          <w:bCs/>
          <w:sz w:val="24"/>
          <w:szCs w:val="24"/>
          <w:lang w:val="en-US"/>
        </w:rPr>
        <w:t xml:space="preserve">hite </w:t>
      </w:r>
      <w:r w:rsidR="00FC1FD4">
        <w:rPr>
          <w:rFonts w:ascii="Times New Roman" w:hAnsi="Times New Roman"/>
          <w:b/>
          <w:bCs/>
          <w:sz w:val="24"/>
          <w:szCs w:val="24"/>
          <w:lang w:val="en-US"/>
        </w:rPr>
        <w:t>o</w:t>
      </w:r>
      <w:r w:rsidR="00FC1FD4" w:rsidRPr="00A1396F">
        <w:rPr>
          <w:rFonts w:ascii="Times New Roman" w:hAnsi="Times New Roman"/>
          <w:b/>
          <w:bCs/>
          <w:sz w:val="24"/>
          <w:szCs w:val="24"/>
          <w:lang w:val="en-US"/>
        </w:rPr>
        <w:t xml:space="preserve">regano </w:t>
      </w:r>
      <w:r w:rsidR="00FC1FD4">
        <w:rPr>
          <w:rFonts w:ascii="Times New Roman" w:hAnsi="Times New Roman"/>
          <w:b/>
          <w:bCs/>
          <w:sz w:val="24"/>
          <w:szCs w:val="24"/>
          <w:lang w:val="en-US"/>
        </w:rPr>
        <w:t>EO</w:t>
      </w:r>
      <w:r w:rsidRPr="00A1396F">
        <w:rPr>
          <w:rFonts w:ascii="Times New Roman" w:hAnsi="Times New Roman"/>
          <w:b/>
          <w:bCs/>
          <w:sz w:val="24"/>
          <w:szCs w:val="24"/>
          <w:lang w:val="en-US"/>
        </w:rPr>
        <w:t xml:space="preserve"> on </w:t>
      </w:r>
      <w:r w:rsidRPr="00A1396F">
        <w:rPr>
          <w:rFonts w:ascii="Times New Roman" w:hAnsi="Times New Roman"/>
          <w:b/>
          <w:bCs/>
          <w:i/>
          <w:iCs/>
          <w:sz w:val="24"/>
          <w:szCs w:val="24"/>
          <w:lang w:val="en-US"/>
        </w:rPr>
        <w:t>D. v. virgifera</w:t>
      </w:r>
      <w:r w:rsidRPr="00A1396F">
        <w:rPr>
          <w:rFonts w:ascii="Times New Roman" w:hAnsi="Times New Roman"/>
          <w:b/>
          <w:bCs/>
          <w:sz w:val="24"/>
          <w:szCs w:val="24"/>
          <w:lang w:val="en-US"/>
        </w:rPr>
        <w:t xml:space="preserve"> </w:t>
      </w:r>
      <w:r w:rsidR="00306AF7">
        <w:rPr>
          <w:rFonts w:ascii="Times New Roman" w:hAnsi="Times New Roman"/>
          <w:b/>
          <w:bCs/>
          <w:sz w:val="24"/>
          <w:szCs w:val="24"/>
          <w:lang w:val="en-US"/>
        </w:rPr>
        <w:t>a</w:t>
      </w:r>
      <w:r w:rsidR="00306AF7" w:rsidRPr="00A1396F">
        <w:rPr>
          <w:rFonts w:ascii="Times New Roman" w:hAnsi="Times New Roman"/>
          <w:b/>
          <w:bCs/>
          <w:sz w:val="24"/>
          <w:szCs w:val="24"/>
          <w:lang w:val="en-US"/>
        </w:rPr>
        <w:t>dult</w:t>
      </w:r>
      <w:r w:rsidR="00306AF7">
        <w:rPr>
          <w:rFonts w:ascii="Times New Roman" w:hAnsi="Times New Roman"/>
          <w:b/>
          <w:bCs/>
          <w:sz w:val="24"/>
          <w:szCs w:val="24"/>
          <w:lang w:val="en-US"/>
        </w:rPr>
        <w:t>s</w:t>
      </w:r>
      <w:r w:rsidR="00306AF7" w:rsidRPr="00A1396F">
        <w:rPr>
          <w:rFonts w:ascii="Times New Roman" w:hAnsi="Times New Roman"/>
          <w:b/>
          <w:bCs/>
          <w:sz w:val="24"/>
          <w:szCs w:val="24"/>
          <w:lang w:val="en-US"/>
        </w:rPr>
        <w:t xml:space="preserve"> </w:t>
      </w:r>
      <w:r w:rsidRPr="00A1396F">
        <w:rPr>
          <w:rFonts w:ascii="Times New Roman" w:hAnsi="Times New Roman"/>
          <w:b/>
          <w:bCs/>
          <w:sz w:val="24"/>
          <w:szCs w:val="24"/>
          <w:lang w:val="en-US"/>
        </w:rPr>
        <w:t xml:space="preserve">in the </w:t>
      </w:r>
      <w:r w:rsidR="00FC1FD4">
        <w:rPr>
          <w:rFonts w:ascii="Times New Roman" w:hAnsi="Times New Roman"/>
          <w:b/>
          <w:bCs/>
          <w:sz w:val="24"/>
          <w:szCs w:val="24"/>
          <w:lang w:val="en-US"/>
        </w:rPr>
        <w:t>l</w:t>
      </w:r>
      <w:r w:rsidR="00FC1FD4" w:rsidRPr="00A1396F">
        <w:rPr>
          <w:rFonts w:ascii="Times New Roman" w:hAnsi="Times New Roman"/>
          <w:b/>
          <w:bCs/>
          <w:sz w:val="24"/>
          <w:szCs w:val="24"/>
          <w:lang w:val="en-US"/>
        </w:rPr>
        <w:t>aboratory</w:t>
      </w:r>
    </w:p>
    <w:p w:rsidR="00A1396F" w:rsidRPr="00A1396F" w:rsidRDefault="00A1396F" w:rsidP="00BF6A3C">
      <w:pPr>
        <w:ind w:firstLine="567"/>
        <w:rPr>
          <w:rFonts w:ascii="Times New Roman" w:hAnsi="Times New Roman"/>
          <w:b/>
          <w:bCs/>
          <w:sz w:val="24"/>
          <w:szCs w:val="24"/>
          <w:lang w:val="en-US"/>
        </w:rPr>
      </w:pPr>
      <w:r w:rsidRPr="00A1396F">
        <w:rPr>
          <w:rFonts w:ascii="Times New Roman" w:hAnsi="Times New Roman"/>
          <w:sz w:val="24"/>
          <w:szCs w:val="24"/>
          <w:lang w:val="en-US"/>
        </w:rPr>
        <w:t>At the end of the laboratory experiments, mean mortality in the control groups reached 12% (SE ± 2%) in the experiment with pure essential oil and 18% (SE ± 3%) in the experiment with essential oil dissolved in 0.01% Tween 80.</w:t>
      </w:r>
    </w:p>
    <w:p w:rsidR="00A1396F" w:rsidRPr="00A1396F" w:rsidRDefault="00A1396F" w:rsidP="00BF6A3C">
      <w:pPr>
        <w:ind w:firstLine="567"/>
        <w:rPr>
          <w:rFonts w:ascii="Times New Roman" w:hAnsi="Times New Roman"/>
          <w:sz w:val="24"/>
          <w:szCs w:val="24"/>
          <w:lang w:val="en-US"/>
        </w:rPr>
      </w:pPr>
      <w:r w:rsidRPr="00A1396F">
        <w:rPr>
          <w:rFonts w:ascii="Times New Roman" w:hAnsi="Times New Roman"/>
          <w:sz w:val="24"/>
          <w:szCs w:val="24"/>
          <w:lang w:val="en-US"/>
        </w:rPr>
        <w:t xml:space="preserve">In the first experiment, all treatments with undiluted essential oil (3 µl, 5 µl, and 10 µl) induced high mortality in adult </w:t>
      </w:r>
      <w:r w:rsidRPr="00A1396F">
        <w:rPr>
          <w:rFonts w:ascii="Times New Roman" w:hAnsi="Times New Roman"/>
          <w:i/>
          <w:iCs/>
          <w:sz w:val="24"/>
          <w:szCs w:val="24"/>
          <w:lang w:val="en-US"/>
        </w:rPr>
        <w:t>D. v. virgifera</w:t>
      </w:r>
      <w:r w:rsidRPr="00A1396F">
        <w:rPr>
          <w:rFonts w:ascii="Times New Roman" w:hAnsi="Times New Roman"/>
          <w:sz w:val="24"/>
          <w:szCs w:val="24"/>
          <w:lang w:val="en-US"/>
        </w:rPr>
        <w:t>, reaching 98–100% within 10 days. At the highest dose (10 µl), 100% mortality was achieved as early as the second day after treatment, while at 5 µl all insects died by day seven. Statistically significant differences were detected in mortality depending on oil dose (F</w:t>
      </w:r>
      <w:r w:rsidRPr="00BF6A3C">
        <w:rPr>
          <w:rFonts w:ascii="Times New Roman" w:hAnsi="Times New Roman"/>
          <w:sz w:val="24"/>
          <w:szCs w:val="24"/>
          <w:vertAlign w:val="subscript"/>
          <w:lang w:val="en-US"/>
        </w:rPr>
        <w:t>2,90</w:t>
      </w:r>
      <w:r w:rsidRPr="00A1396F">
        <w:rPr>
          <w:rFonts w:ascii="Times New Roman" w:hAnsi="Times New Roman"/>
          <w:sz w:val="24"/>
          <w:szCs w:val="24"/>
          <w:lang w:val="en-US"/>
        </w:rPr>
        <w:t xml:space="preserve"> = 26.35; P &lt; 0.001), exposure time (F</w:t>
      </w:r>
      <w:r w:rsidRPr="00241E4C">
        <w:rPr>
          <w:rFonts w:ascii="Times New Roman" w:hAnsi="Times New Roman"/>
          <w:sz w:val="24"/>
          <w:szCs w:val="24"/>
          <w:vertAlign w:val="subscript"/>
          <w:lang w:val="en-US"/>
        </w:rPr>
        <w:t>9,90</w:t>
      </w:r>
      <w:r w:rsidRPr="00A1396F">
        <w:rPr>
          <w:rFonts w:ascii="Times New Roman" w:hAnsi="Times New Roman"/>
          <w:sz w:val="24"/>
          <w:szCs w:val="24"/>
          <w:lang w:val="en-US"/>
        </w:rPr>
        <w:t xml:space="preserve"> = 31.43; P &lt; 0.001), and their interaction (F</w:t>
      </w:r>
      <w:r w:rsidRPr="00BF6A3C">
        <w:rPr>
          <w:rFonts w:ascii="Times New Roman" w:hAnsi="Times New Roman"/>
          <w:sz w:val="24"/>
          <w:szCs w:val="24"/>
          <w:vertAlign w:val="subscript"/>
          <w:lang w:val="en-US"/>
        </w:rPr>
        <w:t>18,90</w:t>
      </w:r>
      <w:r w:rsidRPr="00A1396F">
        <w:rPr>
          <w:rFonts w:ascii="Times New Roman" w:hAnsi="Times New Roman"/>
          <w:sz w:val="24"/>
          <w:szCs w:val="24"/>
          <w:lang w:val="en-US"/>
        </w:rPr>
        <w:t xml:space="preserve"> = 7.07; P &lt; 0.001). LT</w:t>
      </w:r>
      <w:r w:rsidRPr="00A1396F">
        <w:rPr>
          <w:rFonts w:ascii="Cambria Math" w:hAnsi="Cambria Math" w:cs="Cambria Math"/>
          <w:sz w:val="24"/>
          <w:szCs w:val="24"/>
          <w:lang w:val="en-US"/>
        </w:rPr>
        <w:t>₅₀</w:t>
      </w:r>
      <w:r w:rsidRPr="00A1396F">
        <w:rPr>
          <w:rFonts w:ascii="Times New Roman" w:hAnsi="Times New Roman"/>
          <w:sz w:val="24"/>
          <w:szCs w:val="24"/>
          <w:lang w:val="en-US"/>
        </w:rPr>
        <w:t xml:space="preserve"> decreased with increasing oil dose, ranging from several hours (mean 6.86 h; 95% CI</w:t>
      </w:r>
      <w:r w:rsidR="00306AF7">
        <w:rPr>
          <w:rFonts w:ascii="Times New Roman" w:hAnsi="Times New Roman"/>
          <w:sz w:val="24"/>
          <w:szCs w:val="24"/>
          <w:lang w:val="en-US"/>
        </w:rPr>
        <w:t>s</w:t>
      </w:r>
      <w:r w:rsidRPr="00A1396F">
        <w:rPr>
          <w:rFonts w:ascii="Times New Roman" w:hAnsi="Times New Roman"/>
          <w:sz w:val="24"/>
          <w:szCs w:val="24"/>
          <w:lang w:val="en-US"/>
        </w:rPr>
        <w:t>: 3.14–13.81 h) to a few minutes after exposure (mean 8.3</w:t>
      </w:r>
      <w:r w:rsidR="00BD51FA">
        <w:rPr>
          <w:rFonts w:ascii="Times New Roman" w:hAnsi="Times New Roman"/>
          <w:sz w:val="24"/>
          <w:szCs w:val="24"/>
          <w:lang w:val="en-US"/>
        </w:rPr>
        <w:t>9 min; 95% CI</w:t>
      </w:r>
      <w:r w:rsidR="00306AF7">
        <w:rPr>
          <w:rFonts w:ascii="Times New Roman" w:hAnsi="Times New Roman"/>
          <w:sz w:val="24"/>
          <w:szCs w:val="24"/>
          <w:lang w:val="en-US"/>
        </w:rPr>
        <w:t>s</w:t>
      </w:r>
      <w:r w:rsidR="00BD51FA">
        <w:rPr>
          <w:rFonts w:ascii="Times New Roman" w:hAnsi="Times New Roman"/>
          <w:sz w:val="24"/>
          <w:szCs w:val="24"/>
          <w:lang w:val="en-US"/>
        </w:rPr>
        <w:t>: 2.27–24.00 min).</w:t>
      </w:r>
      <w:r w:rsidR="00BD51FA">
        <w:rPr>
          <w:rFonts w:ascii="Times New Roman" w:hAnsi="Times New Roman"/>
          <w:sz w:val="24"/>
          <w:szCs w:val="24"/>
        </w:rPr>
        <w:t xml:space="preserve"> </w:t>
      </w:r>
      <w:r w:rsidRPr="00A1396F">
        <w:rPr>
          <w:rFonts w:ascii="Times New Roman" w:hAnsi="Times New Roman"/>
          <w:sz w:val="24"/>
          <w:szCs w:val="24"/>
          <w:lang w:val="en-US"/>
        </w:rPr>
        <w:t>Results from assays with diluted essential oil showed that the highest concentration (10 µl/ml) caused 100% mortality of adult western corn rootworm within three days, while 92% mortality was achieved after nine days at 1 µl/ml. Two-way ANOVA revealed significant effects of essential oil concentration (F</w:t>
      </w:r>
      <w:r w:rsidRPr="00BF6A3C">
        <w:rPr>
          <w:rFonts w:ascii="Times New Roman" w:hAnsi="Times New Roman"/>
          <w:sz w:val="24"/>
          <w:szCs w:val="24"/>
          <w:vertAlign w:val="subscript"/>
          <w:lang w:val="en-US"/>
        </w:rPr>
        <w:t>3,120</w:t>
      </w:r>
      <w:r w:rsidRPr="00A1396F">
        <w:rPr>
          <w:rFonts w:ascii="Times New Roman" w:hAnsi="Times New Roman"/>
          <w:sz w:val="24"/>
          <w:szCs w:val="24"/>
          <w:lang w:val="en-US"/>
        </w:rPr>
        <w:t xml:space="preserve"> = 157.77; P &lt; 0.001), exposure time (F</w:t>
      </w:r>
      <w:r w:rsidRPr="00BF6A3C">
        <w:rPr>
          <w:rFonts w:ascii="Times New Roman" w:hAnsi="Times New Roman"/>
          <w:sz w:val="24"/>
          <w:szCs w:val="24"/>
          <w:vertAlign w:val="subscript"/>
          <w:lang w:val="en-US"/>
        </w:rPr>
        <w:t>9,120</w:t>
      </w:r>
      <w:r w:rsidRPr="00A1396F">
        <w:rPr>
          <w:rFonts w:ascii="Times New Roman" w:hAnsi="Times New Roman"/>
          <w:sz w:val="24"/>
          <w:szCs w:val="24"/>
          <w:lang w:val="en-US"/>
        </w:rPr>
        <w:t xml:space="preserve"> = 17.29; P &lt; 0.001), and their interaction (F</w:t>
      </w:r>
      <w:r w:rsidRPr="00BF6A3C">
        <w:rPr>
          <w:rFonts w:ascii="Times New Roman" w:hAnsi="Times New Roman"/>
          <w:sz w:val="24"/>
          <w:szCs w:val="24"/>
          <w:vertAlign w:val="subscript"/>
          <w:lang w:val="en-US"/>
        </w:rPr>
        <w:t>27,120</w:t>
      </w:r>
      <w:r w:rsidRPr="00A1396F">
        <w:rPr>
          <w:rFonts w:ascii="Times New Roman" w:hAnsi="Times New Roman"/>
          <w:sz w:val="24"/>
          <w:szCs w:val="24"/>
          <w:lang w:val="en-US"/>
        </w:rPr>
        <w:t xml:space="preserve"> = 3.93; P &lt; 0.001) on insect </w:t>
      </w:r>
      <w:r w:rsidRPr="00A1396F">
        <w:rPr>
          <w:rFonts w:ascii="Times New Roman" w:hAnsi="Times New Roman"/>
          <w:sz w:val="24"/>
          <w:szCs w:val="24"/>
          <w:lang w:val="en-US"/>
        </w:rPr>
        <w:lastRenderedPageBreak/>
        <w:t>mortality. After 24 h of exposure, LC</w:t>
      </w:r>
      <w:r w:rsidRPr="00A1396F">
        <w:rPr>
          <w:rFonts w:ascii="Cambria Math" w:hAnsi="Cambria Math" w:cs="Cambria Math"/>
          <w:sz w:val="24"/>
          <w:szCs w:val="24"/>
          <w:lang w:val="en-US"/>
        </w:rPr>
        <w:t>₅₀</w:t>
      </w:r>
      <w:r w:rsidRPr="00A1396F">
        <w:rPr>
          <w:rFonts w:ascii="Times New Roman" w:hAnsi="Times New Roman"/>
          <w:sz w:val="24"/>
          <w:szCs w:val="24"/>
          <w:lang w:val="en-US"/>
        </w:rPr>
        <w:t xml:space="preserve"> and LC</w:t>
      </w:r>
      <w:r w:rsidRPr="00A1396F">
        <w:rPr>
          <w:rFonts w:ascii="Cambria Math" w:hAnsi="Cambria Math" w:cs="Cambria Math"/>
          <w:sz w:val="24"/>
          <w:szCs w:val="24"/>
          <w:lang w:val="en-US"/>
        </w:rPr>
        <w:t>₉₀</w:t>
      </w:r>
      <w:r w:rsidRPr="00A1396F">
        <w:rPr>
          <w:rFonts w:ascii="Times New Roman" w:hAnsi="Times New Roman"/>
          <w:sz w:val="24"/>
          <w:szCs w:val="24"/>
          <w:lang w:val="en-US"/>
        </w:rPr>
        <w:t xml:space="preserve"> values were 0.62 µl/ml (95% CI</w:t>
      </w:r>
      <w:r w:rsidR="00306AF7">
        <w:rPr>
          <w:rFonts w:ascii="Times New Roman" w:hAnsi="Times New Roman"/>
          <w:sz w:val="24"/>
          <w:szCs w:val="24"/>
          <w:lang w:val="en-US"/>
        </w:rPr>
        <w:t>s</w:t>
      </w:r>
      <w:r w:rsidRPr="00A1396F">
        <w:rPr>
          <w:rFonts w:ascii="Times New Roman" w:hAnsi="Times New Roman"/>
          <w:sz w:val="24"/>
          <w:szCs w:val="24"/>
          <w:lang w:val="en-US"/>
        </w:rPr>
        <w:t>: 0.06–6.29 µl/ml) and 5.77 µl/ml (95% CI</w:t>
      </w:r>
      <w:r w:rsidR="00306AF7">
        <w:rPr>
          <w:rFonts w:ascii="Times New Roman" w:hAnsi="Times New Roman"/>
          <w:sz w:val="24"/>
          <w:szCs w:val="24"/>
          <w:lang w:val="en-US"/>
        </w:rPr>
        <w:t>s</w:t>
      </w:r>
      <w:r w:rsidRPr="00A1396F">
        <w:rPr>
          <w:rFonts w:ascii="Times New Roman" w:hAnsi="Times New Roman"/>
          <w:sz w:val="24"/>
          <w:szCs w:val="24"/>
          <w:lang w:val="en-US"/>
        </w:rPr>
        <w:t>: 0.57–58.44 µl/ml), respectively. Ten days after treatment, these values decreased to 0.36 µl/ml (95% CI</w:t>
      </w:r>
      <w:r w:rsidR="00306AF7">
        <w:rPr>
          <w:rFonts w:ascii="Times New Roman" w:hAnsi="Times New Roman"/>
          <w:sz w:val="24"/>
          <w:szCs w:val="24"/>
          <w:lang w:val="en-US"/>
        </w:rPr>
        <w:t>s</w:t>
      </w:r>
      <w:r w:rsidRPr="00A1396F">
        <w:rPr>
          <w:rFonts w:ascii="Times New Roman" w:hAnsi="Times New Roman"/>
          <w:sz w:val="24"/>
          <w:szCs w:val="24"/>
          <w:lang w:val="en-US"/>
        </w:rPr>
        <w:t>: 0.09–1.40 µl/ml) for LC</w:t>
      </w:r>
      <w:r w:rsidRPr="00A1396F">
        <w:rPr>
          <w:rFonts w:ascii="Cambria Math" w:hAnsi="Cambria Math" w:cs="Cambria Math"/>
          <w:sz w:val="24"/>
          <w:szCs w:val="24"/>
          <w:lang w:val="en-US"/>
        </w:rPr>
        <w:t>₅₀</w:t>
      </w:r>
      <w:r w:rsidRPr="00A1396F">
        <w:rPr>
          <w:rFonts w:ascii="Times New Roman" w:hAnsi="Times New Roman"/>
          <w:sz w:val="24"/>
          <w:szCs w:val="24"/>
          <w:lang w:val="en-US"/>
        </w:rPr>
        <w:t xml:space="preserve"> and 0.03 µl/ml (95% CI</w:t>
      </w:r>
      <w:r w:rsidR="00306AF7">
        <w:rPr>
          <w:rFonts w:ascii="Times New Roman" w:hAnsi="Times New Roman"/>
          <w:sz w:val="24"/>
          <w:szCs w:val="24"/>
          <w:lang w:val="en-US"/>
        </w:rPr>
        <w:t>s</w:t>
      </w:r>
      <w:r w:rsidRPr="00A1396F">
        <w:rPr>
          <w:rFonts w:ascii="Times New Roman" w:hAnsi="Times New Roman"/>
          <w:sz w:val="24"/>
          <w:szCs w:val="24"/>
          <w:lang w:val="en-US"/>
        </w:rPr>
        <w:t>: 0.01–0.10 µl/ml) for LC</w:t>
      </w:r>
      <w:r w:rsidRPr="00A1396F">
        <w:rPr>
          <w:rFonts w:ascii="Cambria Math" w:hAnsi="Cambria Math" w:cs="Cambria Math"/>
          <w:sz w:val="24"/>
          <w:szCs w:val="24"/>
          <w:lang w:val="en-US"/>
        </w:rPr>
        <w:t>₉₀</w:t>
      </w:r>
      <w:r w:rsidRPr="00A1396F">
        <w:rPr>
          <w:rFonts w:ascii="Times New Roman" w:hAnsi="Times New Roman"/>
          <w:sz w:val="24"/>
          <w:szCs w:val="24"/>
          <w:lang w:val="en-US"/>
        </w:rPr>
        <w:t>.</w:t>
      </w:r>
      <w:r w:rsidR="00BD51FA">
        <w:rPr>
          <w:rFonts w:ascii="Times New Roman" w:hAnsi="Times New Roman"/>
          <w:sz w:val="24"/>
          <w:szCs w:val="24"/>
        </w:rPr>
        <w:t xml:space="preserve"> </w:t>
      </w:r>
      <w:r w:rsidRPr="00A1396F">
        <w:rPr>
          <w:rFonts w:ascii="Times New Roman" w:hAnsi="Times New Roman"/>
          <w:sz w:val="24"/>
          <w:szCs w:val="24"/>
          <w:lang w:val="en-US"/>
        </w:rPr>
        <w:t xml:space="preserve">The </w:t>
      </w:r>
      <w:r w:rsidR="00306AF7">
        <w:rPr>
          <w:rFonts w:ascii="Times New Roman" w:hAnsi="Times New Roman"/>
          <w:sz w:val="24"/>
          <w:szCs w:val="24"/>
          <w:lang w:val="en-US"/>
        </w:rPr>
        <w:t xml:space="preserve">mean </w:t>
      </w:r>
      <w:r w:rsidRPr="00A1396F">
        <w:rPr>
          <w:rFonts w:ascii="Times New Roman" w:hAnsi="Times New Roman"/>
          <w:sz w:val="24"/>
          <w:szCs w:val="24"/>
          <w:lang w:val="en-US"/>
        </w:rPr>
        <w:t>lethal time (LT</w:t>
      </w:r>
      <w:r w:rsidRPr="00A1396F">
        <w:rPr>
          <w:rFonts w:ascii="Cambria Math" w:hAnsi="Cambria Math" w:cs="Cambria Math"/>
          <w:sz w:val="24"/>
          <w:szCs w:val="24"/>
          <w:lang w:val="en-US"/>
        </w:rPr>
        <w:t>₅₀</w:t>
      </w:r>
      <w:r w:rsidRPr="00A1396F">
        <w:rPr>
          <w:rFonts w:ascii="Times New Roman" w:hAnsi="Times New Roman"/>
          <w:sz w:val="24"/>
          <w:szCs w:val="24"/>
          <w:lang w:val="en-US"/>
        </w:rPr>
        <w:t>) decreased with increasing essential oil concentration. In our experiments, the time required for the oil solutions to induce LT</w:t>
      </w:r>
      <w:r w:rsidRPr="00A1396F">
        <w:rPr>
          <w:rFonts w:ascii="Cambria Math" w:hAnsi="Cambria Math" w:cs="Cambria Math"/>
          <w:sz w:val="24"/>
          <w:szCs w:val="24"/>
          <w:lang w:val="en-US"/>
        </w:rPr>
        <w:t>₅₀</w:t>
      </w:r>
      <w:r w:rsidRPr="00A1396F">
        <w:rPr>
          <w:rFonts w:ascii="Times New Roman" w:hAnsi="Times New Roman"/>
          <w:sz w:val="24"/>
          <w:szCs w:val="24"/>
          <w:lang w:val="en-US"/>
        </w:rPr>
        <w:t xml:space="preserve"> in </w:t>
      </w:r>
      <w:r w:rsidRPr="00A1396F">
        <w:rPr>
          <w:rFonts w:ascii="Times New Roman" w:hAnsi="Times New Roman"/>
          <w:i/>
          <w:iCs/>
          <w:sz w:val="24"/>
          <w:szCs w:val="24"/>
          <w:lang w:val="en-US"/>
        </w:rPr>
        <w:t>D. v. virgifera</w:t>
      </w:r>
      <w:r w:rsidRPr="00A1396F">
        <w:rPr>
          <w:rFonts w:ascii="Times New Roman" w:hAnsi="Times New Roman"/>
          <w:sz w:val="24"/>
          <w:szCs w:val="24"/>
          <w:lang w:val="en-US"/>
        </w:rPr>
        <w:t xml:space="preserve"> ranged from 17.95 days (95% CI: 10.05–35.15 days) at the lowest concentration (0.01 µl/ml) to 90 min (95% CI</w:t>
      </w:r>
      <w:r w:rsidR="00241E4C">
        <w:rPr>
          <w:rFonts w:ascii="Times New Roman" w:hAnsi="Times New Roman"/>
          <w:sz w:val="24"/>
          <w:szCs w:val="24"/>
          <w:lang w:val="en-US"/>
        </w:rPr>
        <w:t>s</w:t>
      </w:r>
      <w:r w:rsidRPr="00A1396F">
        <w:rPr>
          <w:rFonts w:ascii="Times New Roman" w:hAnsi="Times New Roman"/>
          <w:sz w:val="24"/>
          <w:szCs w:val="24"/>
          <w:lang w:val="en-US"/>
        </w:rPr>
        <w:t>: 36–193 min) at the highest concentration (10 µl/ml).</w:t>
      </w:r>
    </w:p>
    <w:p w:rsidR="00BD51FA" w:rsidRPr="00BD51FA" w:rsidRDefault="00BD51FA" w:rsidP="00FC1FD4">
      <w:pPr>
        <w:spacing w:before="100" w:beforeAutospacing="1" w:after="100" w:afterAutospacing="1"/>
        <w:ind w:firstLine="0"/>
        <w:jc w:val="left"/>
        <w:rPr>
          <w:rFonts w:ascii="Times New Roman" w:hAnsi="Times New Roman"/>
          <w:sz w:val="24"/>
          <w:szCs w:val="24"/>
          <w:lang w:val="en-US"/>
        </w:rPr>
      </w:pPr>
      <w:r w:rsidRPr="00BD51FA">
        <w:rPr>
          <w:rFonts w:ascii="Times New Roman" w:hAnsi="Times New Roman"/>
          <w:b/>
          <w:bCs/>
          <w:sz w:val="24"/>
          <w:szCs w:val="24"/>
          <w:lang w:val="en-US"/>
        </w:rPr>
        <w:t xml:space="preserve">4.2.6. Evaluation of the lethal effect of a </w:t>
      </w:r>
      <w:r w:rsidRPr="00BD51FA">
        <w:rPr>
          <w:rFonts w:ascii="Times New Roman" w:hAnsi="Times New Roman"/>
          <w:b/>
          <w:bCs/>
          <w:i/>
          <w:iCs/>
          <w:sz w:val="24"/>
          <w:szCs w:val="24"/>
          <w:lang w:val="en-US"/>
        </w:rPr>
        <w:t>Metarhizium pemphigi</w:t>
      </w:r>
      <w:r w:rsidRPr="00BD51FA">
        <w:rPr>
          <w:rFonts w:ascii="Times New Roman" w:hAnsi="Times New Roman"/>
          <w:b/>
          <w:bCs/>
          <w:sz w:val="24"/>
          <w:szCs w:val="24"/>
          <w:lang w:val="en-US"/>
        </w:rPr>
        <w:t xml:space="preserve"> strain on adult individuals of </w:t>
      </w:r>
      <w:r w:rsidRPr="00BD51FA">
        <w:rPr>
          <w:rFonts w:ascii="Times New Roman" w:hAnsi="Times New Roman"/>
          <w:b/>
          <w:bCs/>
          <w:i/>
          <w:iCs/>
          <w:sz w:val="24"/>
          <w:szCs w:val="24"/>
          <w:lang w:val="en-US"/>
        </w:rPr>
        <w:t>Diabrotica virgifera virgifera</w:t>
      </w:r>
      <w:r w:rsidRPr="00BD51FA">
        <w:rPr>
          <w:rFonts w:ascii="Times New Roman" w:hAnsi="Times New Roman"/>
          <w:b/>
          <w:bCs/>
          <w:sz w:val="24"/>
          <w:szCs w:val="24"/>
          <w:lang w:val="en-US"/>
        </w:rPr>
        <w:t xml:space="preserve"> under laboratory conditions</w:t>
      </w:r>
    </w:p>
    <w:p w:rsidR="00BD51FA" w:rsidRPr="00BD51FA" w:rsidRDefault="00BD51FA" w:rsidP="00BF6A3C">
      <w:pPr>
        <w:ind w:firstLine="567"/>
        <w:rPr>
          <w:rFonts w:ascii="Times New Roman" w:hAnsi="Times New Roman"/>
          <w:sz w:val="24"/>
          <w:szCs w:val="24"/>
          <w:lang w:val="en-US"/>
        </w:rPr>
      </w:pPr>
      <w:r w:rsidRPr="00BD51FA">
        <w:rPr>
          <w:rFonts w:ascii="Times New Roman" w:hAnsi="Times New Roman"/>
          <w:sz w:val="24"/>
          <w:szCs w:val="24"/>
          <w:lang w:val="en-US"/>
        </w:rPr>
        <w:t xml:space="preserve">At the end of the laboratory experiment with </w:t>
      </w:r>
      <w:r w:rsidRPr="00BD51FA">
        <w:rPr>
          <w:rFonts w:ascii="Times New Roman" w:hAnsi="Times New Roman"/>
          <w:i/>
          <w:iCs/>
          <w:sz w:val="24"/>
          <w:szCs w:val="24"/>
          <w:lang w:val="en-US"/>
        </w:rPr>
        <w:t>M. pemphigi</w:t>
      </w:r>
      <w:r w:rsidRPr="00BD51FA">
        <w:rPr>
          <w:rFonts w:ascii="Times New Roman" w:hAnsi="Times New Roman"/>
          <w:sz w:val="24"/>
          <w:szCs w:val="24"/>
          <w:lang w:val="en-US"/>
        </w:rPr>
        <w:t xml:space="preserve"> in Petri dishes, the mean mortality of adult </w:t>
      </w:r>
      <w:r w:rsidRPr="00BD51FA">
        <w:rPr>
          <w:rFonts w:ascii="Times New Roman" w:hAnsi="Times New Roman"/>
          <w:i/>
          <w:iCs/>
          <w:sz w:val="24"/>
          <w:szCs w:val="24"/>
          <w:lang w:val="en-US"/>
        </w:rPr>
        <w:t>D. v. virgifera</w:t>
      </w:r>
      <w:r w:rsidRPr="00BD51FA">
        <w:rPr>
          <w:rFonts w:ascii="Times New Roman" w:hAnsi="Times New Roman"/>
          <w:sz w:val="24"/>
          <w:szCs w:val="24"/>
          <w:lang w:val="en-US"/>
        </w:rPr>
        <w:t xml:space="preserve"> individuals in the control group reached 10% (SE: ±1%). All tested conidial concentrations of </w:t>
      </w:r>
      <w:r w:rsidRPr="00BD51FA">
        <w:rPr>
          <w:rFonts w:ascii="Times New Roman" w:hAnsi="Times New Roman"/>
          <w:i/>
          <w:iCs/>
          <w:sz w:val="24"/>
          <w:szCs w:val="24"/>
          <w:lang w:val="en-US"/>
        </w:rPr>
        <w:t>M. pemphigi</w:t>
      </w:r>
      <w:r w:rsidRPr="00BD51FA">
        <w:rPr>
          <w:rFonts w:ascii="Times New Roman" w:hAnsi="Times New Roman"/>
          <w:sz w:val="24"/>
          <w:szCs w:val="24"/>
          <w:lang w:val="en-US"/>
        </w:rPr>
        <w:t xml:space="preserve"> showed pathogenicity against adults of the western corn rootworm under laboratory conditions. Dead insects from treatments with </w:t>
      </w:r>
      <w:r w:rsidRPr="00BD51FA">
        <w:rPr>
          <w:rFonts w:ascii="Times New Roman" w:hAnsi="Times New Roman"/>
          <w:i/>
          <w:iCs/>
          <w:sz w:val="24"/>
          <w:szCs w:val="24"/>
          <w:lang w:val="en-US"/>
        </w:rPr>
        <w:t>M. pemphigi</w:t>
      </w:r>
      <w:r w:rsidRPr="00BD51FA">
        <w:rPr>
          <w:rFonts w:ascii="Times New Roman" w:hAnsi="Times New Roman"/>
          <w:sz w:val="24"/>
          <w:szCs w:val="24"/>
          <w:lang w:val="en-US"/>
        </w:rPr>
        <w:t xml:space="preserve"> conidia exhibited green discoloration, which is a typical symptom of </w:t>
      </w:r>
      <w:r w:rsidRPr="00BD51FA">
        <w:rPr>
          <w:rFonts w:ascii="Times New Roman" w:hAnsi="Times New Roman"/>
          <w:i/>
          <w:iCs/>
          <w:sz w:val="24"/>
          <w:szCs w:val="24"/>
          <w:lang w:val="en-US"/>
        </w:rPr>
        <w:t>Metarhizium</w:t>
      </w:r>
      <w:r w:rsidRPr="00BD51FA">
        <w:rPr>
          <w:rFonts w:ascii="Times New Roman" w:hAnsi="Times New Roman"/>
          <w:sz w:val="24"/>
          <w:szCs w:val="24"/>
          <w:lang w:val="en-US"/>
        </w:rPr>
        <w:t xml:space="preserve"> infection (fungi of this genus are known to cause green muscardine disease). This represents the first confirmed observation of pathogenicity of this fungal species against </w:t>
      </w:r>
      <w:r w:rsidRPr="00BD51FA">
        <w:rPr>
          <w:rFonts w:ascii="Times New Roman" w:hAnsi="Times New Roman"/>
          <w:i/>
          <w:iCs/>
          <w:sz w:val="24"/>
          <w:szCs w:val="24"/>
          <w:lang w:val="en-US"/>
        </w:rPr>
        <w:t>D. v. virgifera</w:t>
      </w:r>
      <w:r w:rsidRPr="00BD51FA">
        <w:rPr>
          <w:rFonts w:ascii="Times New Roman" w:hAnsi="Times New Roman"/>
          <w:sz w:val="24"/>
          <w:szCs w:val="24"/>
          <w:lang w:val="en-US"/>
        </w:rPr>
        <w:t>.</w:t>
      </w:r>
    </w:p>
    <w:p w:rsidR="00BD51FA" w:rsidRPr="00BD51FA" w:rsidRDefault="00BD51FA" w:rsidP="00BF6A3C">
      <w:pPr>
        <w:ind w:firstLine="567"/>
        <w:rPr>
          <w:rFonts w:ascii="Times New Roman" w:hAnsi="Times New Roman"/>
          <w:sz w:val="24"/>
          <w:szCs w:val="24"/>
          <w:lang w:val="en-US"/>
        </w:rPr>
      </w:pPr>
      <w:r w:rsidRPr="00BD51FA">
        <w:rPr>
          <w:rFonts w:ascii="Times New Roman" w:hAnsi="Times New Roman"/>
          <w:sz w:val="24"/>
          <w:szCs w:val="24"/>
          <w:lang w:val="en-US"/>
        </w:rPr>
        <w:t xml:space="preserve">Mortality of </w:t>
      </w:r>
      <w:r w:rsidRPr="00BD51FA">
        <w:rPr>
          <w:rFonts w:ascii="Times New Roman" w:hAnsi="Times New Roman"/>
          <w:i/>
          <w:iCs/>
          <w:sz w:val="24"/>
          <w:szCs w:val="24"/>
          <w:lang w:val="en-US"/>
        </w:rPr>
        <w:t>D. v. virgifera</w:t>
      </w:r>
      <w:r w:rsidRPr="00BD51FA">
        <w:rPr>
          <w:rFonts w:ascii="Times New Roman" w:hAnsi="Times New Roman"/>
          <w:sz w:val="24"/>
          <w:szCs w:val="24"/>
          <w:lang w:val="en-US"/>
        </w:rPr>
        <w:t xml:space="preserve"> resulting from </w:t>
      </w:r>
      <w:r w:rsidRPr="00BD51FA">
        <w:rPr>
          <w:rFonts w:ascii="Times New Roman" w:hAnsi="Times New Roman"/>
          <w:i/>
          <w:iCs/>
          <w:sz w:val="24"/>
          <w:szCs w:val="24"/>
          <w:lang w:val="en-US"/>
        </w:rPr>
        <w:t>M. pemphigi</w:t>
      </w:r>
      <w:r w:rsidRPr="00BD51FA">
        <w:rPr>
          <w:rFonts w:ascii="Times New Roman" w:hAnsi="Times New Roman"/>
          <w:sz w:val="24"/>
          <w:szCs w:val="24"/>
          <w:lang w:val="en-US"/>
        </w:rPr>
        <w:t xml:space="preserve"> infection increased with increasing conidial concentration and exposure time. No dead insects showing symptoms of mycosis were recorded in the control group. Mean mortality of western corn rootworm adults ranged from 3% to 50% at conidial concentrations from 2 × 10³ conidia/ml to 2 × 10</w:t>
      </w:r>
      <w:r w:rsidRPr="00BD51FA">
        <w:rPr>
          <w:rFonts w:ascii="Cambria Math" w:hAnsi="Cambria Math" w:cs="Cambria Math"/>
          <w:sz w:val="24"/>
          <w:szCs w:val="24"/>
          <w:lang w:val="en-US"/>
        </w:rPr>
        <w:t>⁷</w:t>
      </w:r>
      <w:r w:rsidRPr="00BD51FA">
        <w:rPr>
          <w:rFonts w:ascii="Times New Roman" w:hAnsi="Times New Roman"/>
          <w:sz w:val="24"/>
          <w:szCs w:val="24"/>
          <w:lang w:val="en-US"/>
        </w:rPr>
        <w:t xml:space="preserve"> conidia/ml seven days after treatment. The maximum mortality of adult </w:t>
      </w:r>
      <w:r w:rsidRPr="00BD51FA">
        <w:rPr>
          <w:rFonts w:ascii="Times New Roman" w:hAnsi="Times New Roman"/>
          <w:i/>
          <w:iCs/>
          <w:sz w:val="24"/>
          <w:szCs w:val="24"/>
          <w:lang w:val="en-US"/>
        </w:rPr>
        <w:t>D. v. virgifera</w:t>
      </w:r>
      <w:r w:rsidRPr="00BD51FA">
        <w:rPr>
          <w:rFonts w:ascii="Times New Roman" w:hAnsi="Times New Roman"/>
          <w:sz w:val="24"/>
          <w:szCs w:val="24"/>
          <w:lang w:val="en-US"/>
        </w:rPr>
        <w:t xml:space="preserve"> reached 73% ten days after treatment with the highest concentration of the conidial suspension (2 × 10</w:t>
      </w:r>
      <w:r w:rsidRPr="00BD51FA">
        <w:rPr>
          <w:rFonts w:ascii="Cambria Math" w:hAnsi="Cambria Math" w:cs="Cambria Math"/>
          <w:sz w:val="24"/>
          <w:szCs w:val="24"/>
          <w:lang w:val="en-US"/>
        </w:rPr>
        <w:t>⁷</w:t>
      </w:r>
      <w:r w:rsidRPr="00BD51FA">
        <w:rPr>
          <w:rFonts w:ascii="Times New Roman" w:hAnsi="Times New Roman"/>
          <w:sz w:val="24"/>
          <w:szCs w:val="24"/>
          <w:lang w:val="en-US"/>
        </w:rPr>
        <w:t xml:space="preserve"> conidia/ml). Mortality at the intermediate concentration (2 × 10</w:t>
      </w:r>
      <w:r w:rsidRPr="00BD51FA">
        <w:rPr>
          <w:rFonts w:ascii="Cambria Math" w:hAnsi="Cambria Math" w:cs="Cambria Math"/>
          <w:sz w:val="24"/>
          <w:szCs w:val="24"/>
          <w:lang w:val="en-US"/>
        </w:rPr>
        <w:t>⁵</w:t>
      </w:r>
      <w:r w:rsidRPr="00BD51FA">
        <w:rPr>
          <w:rFonts w:ascii="Times New Roman" w:hAnsi="Times New Roman"/>
          <w:sz w:val="24"/>
          <w:szCs w:val="24"/>
          <w:lang w:val="en-US"/>
        </w:rPr>
        <w:t xml:space="preserve"> conidia/ml) was 33% during the same period.</w:t>
      </w:r>
    </w:p>
    <w:p w:rsidR="00BD51FA" w:rsidRPr="00BD51FA" w:rsidRDefault="00BD51FA" w:rsidP="00BF6A3C">
      <w:pPr>
        <w:ind w:firstLine="567"/>
        <w:rPr>
          <w:rFonts w:ascii="Times New Roman" w:hAnsi="Times New Roman"/>
          <w:sz w:val="24"/>
          <w:szCs w:val="24"/>
          <w:lang w:val="en-US"/>
        </w:rPr>
      </w:pPr>
      <w:r w:rsidRPr="00BD51FA">
        <w:rPr>
          <w:rFonts w:ascii="Times New Roman" w:hAnsi="Times New Roman"/>
          <w:sz w:val="24"/>
          <w:szCs w:val="24"/>
          <w:lang w:val="en-US"/>
        </w:rPr>
        <w:t>The conidial concentration causing LC</w:t>
      </w:r>
      <w:r w:rsidRPr="00BD51FA">
        <w:rPr>
          <w:rFonts w:ascii="Cambria Math" w:hAnsi="Cambria Math" w:cs="Cambria Math"/>
          <w:sz w:val="24"/>
          <w:szCs w:val="24"/>
          <w:lang w:val="en-US"/>
        </w:rPr>
        <w:t>₅₀</w:t>
      </w:r>
      <w:r w:rsidRPr="00BD51FA">
        <w:rPr>
          <w:rFonts w:ascii="Times New Roman" w:hAnsi="Times New Roman"/>
          <w:sz w:val="24"/>
          <w:szCs w:val="24"/>
          <w:lang w:val="en-US"/>
        </w:rPr>
        <w:t xml:space="preserve"> for </w:t>
      </w:r>
      <w:r w:rsidR="00306AF7">
        <w:rPr>
          <w:rFonts w:ascii="Times New Roman" w:hAnsi="Times New Roman"/>
          <w:sz w:val="24"/>
          <w:szCs w:val="24"/>
          <w:lang w:val="en-US"/>
        </w:rPr>
        <w:t xml:space="preserve">the </w:t>
      </w:r>
      <w:r w:rsidRPr="00BD51FA">
        <w:rPr>
          <w:rFonts w:ascii="Times New Roman" w:hAnsi="Times New Roman"/>
          <w:sz w:val="24"/>
          <w:szCs w:val="24"/>
          <w:lang w:val="en-US"/>
        </w:rPr>
        <w:t>adult</w:t>
      </w:r>
      <w:r w:rsidR="00306AF7">
        <w:rPr>
          <w:rFonts w:ascii="Times New Roman" w:hAnsi="Times New Roman"/>
          <w:sz w:val="24"/>
          <w:szCs w:val="24"/>
          <w:lang w:val="en-US"/>
        </w:rPr>
        <w:t>s of the</w:t>
      </w:r>
      <w:r w:rsidR="00FF3F58">
        <w:rPr>
          <w:rFonts w:ascii="Times New Roman" w:hAnsi="Times New Roman"/>
          <w:sz w:val="24"/>
          <w:szCs w:val="24"/>
          <w:lang w:val="en-US"/>
        </w:rPr>
        <w:t xml:space="preserve"> </w:t>
      </w:r>
      <w:r w:rsidRPr="00BD51FA">
        <w:rPr>
          <w:rFonts w:ascii="Times New Roman" w:hAnsi="Times New Roman"/>
          <w:sz w:val="24"/>
          <w:szCs w:val="24"/>
          <w:lang w:val="en-US"/>
        </w:rPr>
        <w:t>western corn rootworm after ten days was 3.3 × 10</w:t>
      </w:r>
      <w:r w:rsidRPr="00BD51FA">
        <w:rPr>
          <w:rFonts w:ascii="Cambria Math" w:hAnsi="Cambria Math" w:cs="Cambria Math"/>
          <w:sz w:val="24"/>
          <w:szCs w:val="24"/>
          <w:lang w:val="en-US"/>
        </w:rPr>
        <w:t>⁶</w:t>
      </w:r>
      <w:r w:rsidRPr="00BD51FA">
        <w:rPr>
          <w:rFonts w:ascii="Times New Roman" w:hAnsi="Times New Roman"/>
          <w:sz w:val="24"/>
          <w:szCs w:val="24"/>
          <w:lang w:val="en-US"/>
        </w:rPr>
        <w:t xml:space="preserve"> conidia/ml (95% </w:t>
      </w:r>
      <w:r w:rsidR="00306AF7">
        <w:rPr>
          <w:rFonts w:ascii="Times New Roman" w:hAnsi="Times New Roman"/>
          <w:sz w:val="24"/>
          <w:szCs w:val="24"/>
          <w:lang w:val="en-US"/>
        </w:rPr>
        <w:t>CIs</w:t>
      </w:r>
      <w:r w:rsidRPr="00BD51FA">
        <w:rPr>
          <w:rFonts w:ascii="Times New Roman" w:hAnsi="Times New Roman"/>
          <w:sz w:val="24"/>
          <w:szCs w:val="24"/>
          <w:lang w:val="en-US"/>
        </w:rPr>
        <w:t>: 1.4 × 10</w:t>
      </w:r>
      <w:r w:rsidRPr="00BD51FA">
        <w:rPr>
          <w:rFonts w:ascii="Cambria Math" w:hAnsi="Cambria Math" w:cs="Cambria Math"/>
          <w:sz w:val="24"/>
          <w:szCs w:val="24"/>
          <w:lang w:val="en-US"/>
        </w:rPr>
        <w:t>⁵</w:t>
      </w:r>
      <w:r w:rsidRPr="00BD51FA">
        <w:rPr>
          <w:rFonts w:ascii="Times New Roman" w:hAnsi="Times New Roman"/>
          <w:sz w:val="24"/>
          <w:szCs w:val="24"/>
          <w:lang w:val="en-US"/>
        </w:rPr>
        <w:t xml:space="preserve"> – 1.0 × 10</w:t>
      </w:r>
      <w:r w:rsidRPr="00BD51FA">
        <w:rPr>
          <w:rFonts w:ascii="Cambria Math" w:hAnsi="Cambria Math" w:cs="Cambria Math"/>
          <w:sz w:val="24"/>
          <w:szCs w:val="24"/>
          <w:lang w:val="en-US"/>
        </w:rPr>
        <w:t>⁷</w:t>
      </w:r>
      <w:r w:rsidRPr="00BD51FA">
        <w:rPr>
          <w:rFonts w:ascii="Times New Roman" w:hAnsi="Times New Roman"/>
          <w:sz w:val="24"/>
          <w:szCs w:val="24"/>
          <w:lang w:val="en-US"/>
        </w:rPr>
        <w:t xml:space="preserve"> conidia/ml), whereas LC</w:t>
      </w:r>
      <w:r w:rsidRPr="00BD51FA">
        <w:rPr>
          <w:rFonts w:ascii="Cambria Math" w:hAnsi="Cambria Math" w:cs="Cambria Math"/>
          <w:sz w:val="24"/>
          <w:szCs w:val="24"/>
          <w:lang w:val="en-US"/>
        </w:rPr>
        <w:t>₉₀</w:t>
      </w:r>
      <w:r w:rsidRPr="00BD51FA">
        <w:rPr>
          <w:rFonts w:ascii="Times New Roman" w:hAnsi="Times New Roman"/>
          <w:sz w:val="24"/>
          <w:szCs w:val="24"/>
          <w:lang w:val="en-US"/>
        </w:rPr>
        <w:t xml:space="preserve"> was 5.1 × 10</w:t>
      </w:r>
      <w:r w:rsidRPr="00BD51FA">
        <w:rPr>
          <w:rFonts w:ascii="Cambria Math" w:hAnsi="Cambria Math" w:cs="Cambria Math"/>
          <w:sz w:val="24"/>
          <w:szCs w:val="24"/>
          <w:lang w:val="en-US"/>
        </w:rPr>
        <w:t>⁸</w:t>
      </w:r>
      <w:r w:rsidRPr="00BD51FA">
        <w:rPr>
          <w:rFonts w:ascii="Times New Roman" w:hAnsi="Times New Roman"/>
          <w:sz w:val="24"/>
          <w:szCs w:val="24"/>
          <w:lang w:val="en-US"/>
        </w:rPr>
        <w:t xml:space="preserve"> conidia/ml (95% </w:t>
      </w:r>
      <w:r w:rsidR="00306AF7">
        <w:rPr>
          <w:rFonts w:ascii="Times New Roman" w:hAnsi="Times New Roman"/>
          <w:sz w:val="24"/>
          <w:szCs w:val="24"/>
          <w:lang w:val="en-US"/>
        </w:rPr>
        <w:t>CIs</w:t>
      </w:r>
      <w:r w:rsidRPr="00BD51FA">
        <w:rPr>
          <w:rFonts w:ascii="Times New Roman" w:hAnsi="Times New Roman"/>
          <w:sz w:val="24"/>
          <w:szCs w:val="24"/>
          <w:lang w:val="en-US"/>
        </w:rPr>
        <w:t>: 9.1 × 10</w:t>
      </w:r>
      <w:r w:rsidRPr="00BD51FA">
        <w:rPr>
          <w:rFonts w:ascii="Cambria Math" w:hAnsi="Cambria Math" w:cs="Cambria Math"/>
          <w:sz w:val="24"/>
          <w:szCs w:val="24"/>
          <w:lang w:val="en-US"/>
        </w:rPr>
        <w:t>⁷</w:t>
      </w:r>
      <w:r w:rsidRPr="00BD51FA">
        <w:rPr>
          <w:rFonts w:ascii="Times New Roman" w:hAnsi="Times New Roman"/>
          <w:sz w:val="24"/>
          <w:szCs w:val="24"/>
          <w:lang w:val="en-US"/>
        </w:rPr>
        <w:t xml:space="preserve"> – 1.5 × 10</w:t>
      </w:r>
      <w:r w:rsidR="00306AF7" w:rsidRPr="00BF6A3C">
        <w:rPr>
          <w:rFonts w:ascii="Times New Roman" w:hAnsi="Times New Roman"/>
          <w:sz w:val="24"/>
          <w:szCs w:val="24"/>
          <w:vertAlign w:val="superscript"/>
          <w:lang w:val="en-US"/>
        </w:rPr>
        <w:t>10</w:t>
      </w:r>
      <w:r w:rsidR="00306AF7" w:rsidRPr="00BD51FA">
        <w:rPr>
          <w:rFonts w:ascii="Times New Roman" w:hAnsi="Times New Roman"/>
          <w:sz w:val="24"/>
          <w:szCs w:val="24"/>
          <w:lang w:val="en-US"/>
        </w:rPr>
        <w:t xml:space="preserve"> </w:t>
      </w:r>
      <w:r w:rsidRPr="00BD51FA">
        <w:rPr>
          <w:rFonts w:ascii="Times New Roman" w:hAnsi="Times New Roman"/>
          <w:sz w:val="24"/>
          <w:szCs w:val="24"/>
          <w:lang w:val="en-US"/>
        </w:rPr>
        <w:t>conidia/ml). Mean lethal time (LT</w:t>
      </w:r>
      <w:r w:rsidRPr="00BD51FA">
        <w:rPr>
          <w:rFonts w:ascii="Cambria Math" w:hAnsi="Cambria Math" w:cs="Cambria Math"/>
          <w:sz w:val="24"/>
          <w:szCs w:val="24"/>
          <w:lang w:val="en-US"/>
        </w:rPr>
        <w:t>₅₀</w:t>
      </w:r>
      <w:r w:rsidRPr="00BD51FA">
        <w:rPr>
          <w:rFonts w:ascii="Times New Roman" w:hAnsi="Times New Roman"/>
          <w:sz w:val="24"/>
          <w:szCs w:val="24"/>
          <w:lang w:val="en-US"/>
        </w:rPr>
        <w:t>) values ranged from 25.86 days to 7.19 days for the lowest and highest tested concentrations, respectively.</w:t>
      </w:r>
    </w:p>
    <w:p w:rsidR="00241E4C" w:rsidRDefault="00241E4C" w:rsidP="00BD51FA">
      <w:pPr>
        <w:spacing w:before="100" w:beforeAutospacing="1" w:after="100" w:afterAutospacing="1" w:line="240" w:lineRule="auto"/>
        <w:ind w:firstLine="0"/>
        <w:jc w:val="left"/>
        <w:rPr>
          <w:rFonts w:ascii="Times New Roman" w:hAnsi="Times New Roman"/>
          <w:b/>
          <w:bCs/>
          <w:sz w:val="24"/>
          <w:szCs w:val="24"/>
          <w:lang w:val="en-US"/>
        </w:rPr>
      </w:pPr>
    </w:p>
    <w:p w:rsidR="00BD51FA" w:rsidRPr="00BD51FA" w:rsidRDefault="00BD51FA" w:rsidP="00BD51FA">
      <w:pPr>
        <w:spacing w:before="100" w:beforeAutospacing="1" w:after="100" w:afterAutospacing="1" w:line="240" w:lineRule="auto"/>
        <w:ind w:firstLine="0"/>
        <w:jc w:val="left"/>
        <w:rPr>
          <w:rFonts w:ascii="Times New Roman" w:hAnsi="Times New Roman"/>
          <w:sz w:val="24"/>
          <w:szCs w:val="24"/>
          <w:lang w:val="en-US"/>
        </w:rPr>
      </w:pPr>
      <w:r w:rsidRPr="00BD51FA">
        <w:rPr>
          <w:rFonts w:ascii="Times New Roman" w:hAnsi="Times New Roman"/>
          <w:b/>
          <w:bCs/>
          <w:sz w:val="24"/>
          <w:szCs w:val="24"/>
          <w:lang w:val="en-US"/>
        </w:rPr>
        <w:lastRenderedPageBreak/>
        <w:t xml:space="preserve">4.2.7. Discussion of the results for </w:t>
      </w:r>
      <w:r w:rsidRPr="00BD51FA">
        <w:rPr>
          <w:rFonts w:ascii="Times New Roman" w:hAnsi="Times New Roman"/>
          <w:b/>
          <w:bCs/>
          <w:i/>
          <w:iCs/>
          <w:sz w:val="24"/>
          <w:szCs w:val="24"/>
          <w:lang w:val="en-US"/>
        </w:rPr>
        <w:t>Diabrotica virgifera virgifera</w:t>
      </w:r>
    </w:p>
    <w:p w:rsidR="00BD51FA" w:rsidRPr="00BD51FA" w:rsidRDefault="00BD51FA" w:rsidP="00BF6A3C">
      <w:pPr>
        <w:ind w:firstLine="567"/>
        <w:rPr>
          <w:rFonts w:ascii="Times New Roman" w:hAnsi="Times New Roman"/>
          <w:sz w:val="24"/>
          <w:szCs w:val="24"/>
          <w:lang w:val="en-US"/>
        </w:rPr>
      </w:pPr>
      <w:r w:rsidRPr="00BD51FA">
        <w:rPr>
          <w:rFonts w:ascii="Times New Roman" w:hAnsi="Times New Roman"/>
          <w:sz w:val="24"/>
          <w:szCs w:val="24"/>
          <w:lang w:val="en-US"/>
        </w:rPr>
        <w:t>This study represents the first evaluation in Bulgaria of the effectiveness of KLP+ traps combined with two types of lures – pheromone and floral lure. This type of trap is characterized by a large collecting container and ease of use. The combination of two lures increases trap efficiency.</w:t>
      </w:r>
      <w:r>
        <w:rPr>
          <w:rFonts w:ascii="Times New Roman" w:hAnsi="Times New Roman"/>
          <w:sz w:val="24"/>
          <w:szCs w:val="24"/>
        </w:rPr>
        <w:t xml:space="preserve"> </w:t>
      </w:r>
      <w:r w:rsidRPr="00BD51FA">
        <w:rPr>
          <w:rFonts w:ascii="Times New Roman" w:hAnsi="Times New Roman"/>
          <w:sz w:val="24"/>
          <w:szCs w:val="24"/>
          <w:lang w:val="en-US"/>
        </w:rPr>
        <w:t xml:space="preserve">The results obtained from our studies on the effect of sticky PAL trap colour and the shade of yellow colour of KLP+ traps confirm the findings of Tóth et al. (2003), according to which fluorescent yellow PAL sticky traps capture a higher mean number of </w:t>
      </w:r>
      <w:r w:rsidRPr="00BD51FA">
        <w:rPr>
          <w:rFonts w:ascii="Times New Roman" w:hAnsi="Times New Roman"/>
          <w:i/>
          <w:iCs/>
          <w:sz w:val="24"/>
          <w:szCs w:val="24"/>
          <w:lang w:val="en-US"/>
        </w:rPr>
        <w:t>D. v. virgifera</w:t>
      </w:r>
      <w:r w:rsidRPr="00BD51FA">
        <w:rPr>
          <w:rFonts w:ascii="Times New Roman" w:hAnsi="Times New Roman"/>
          <w:sz w:val="24"/>
          <w:szCs w:val="24"/>
          <w:lang w:val="en-US"/>
        </w:rPr>
        <w:t xml:space="preserve"> beetles compared with traps of other colours without lures, although no statistically significant differences were established among the tested variants.</w:t>
      </w:r>
      <w:r>
        <w:rPr>
          <w:rFonts w:ascii="Times New Roman" w:hAnsi="Times New Roman"/>
          <w:sz w:val="24"/>
          <w:szCs w:val="24"/>
        </w:rPr>
        <w:t xml:space="preserve"> </w:t>
      </w:r>
      <w:r w:rsidRPr="00BD51FA">
        <w:rPr>
          <w:rFonts w:ascii="Times New Roman" w:hAnsi="Times New Roman"/>
          <w:sz w:val="24"/>
          <w:szCs w:val="24"/>
          <w:lang w:val="en-US"/>
        </w:rPr>
        <w:t>The obtained results demonstrate the potential application of Csalomon® KLP+ traps equipped with pheromone and floral lures in monitoring systems in Bulgaria for detection of adult emergence and assessment of adult flight dynamics.</w:t>
      </w:r>
      <w:r>
        <w:rPr>
          <w:rFonts w:ascii="Times New Roman" w:hAnsi="Times New Roman"/>
          <w:sz w:val="24"/>
          <w:szCs w:val="24"/>
        </w:rPr>
        <w:t xml:space="preserve"> </w:t>
      </w:r>
      <w:r w:rsidRPr="00BD51FA">
        <w:rPr>
          <w:rFonts w:ascii="Times New Roman" w:hAnsi="Times New Roman"/>
          <w:sz w:val="24"/>
          <w:szCs w:val="24"/>
          <w:lang w:val="en-US"/>
        </w:rPr>
        <w:t xml:space="preserve">The results of the conducted experiments showed that essential oil (EO) from white oregano is highly effective against adult individuals of </w:t>
      </w:r>
      <w:r w:rsidRPr="00BD51FA">
        <w:rPr>
          <w:rFonts w:ascii="Times New Roman" w:hAnsi="Times New Roman"/>
          <w:i/>
          <w:iCs/>
          <w:sz w:val="24"/>
          <w:szCs w:val="24"/>
          <w:lang w:val="en-US"/>
        </w:rPr>
        <w:t>D. v. virgifera</w:t>
      </w:r>
      <w:r w:rsidRPr="00BD51FA">
        <w:rPr>
          <w:rFonts w:ascii="Times New Roman" w:hAnsi="Times New Roman"/>
          <w:sz w:val="24"/>
          <w:szCs w:val="24"/>
          <w:lang w:val="en-US"/>
        </w:rPr>
        <w:t>.</w:t>
      </w:r>
    </w:p>
    <w:p w:rsidR="00BD51FA" w:rsidRPr="00BD51FA" w:rsidRDefault="00BD51FA" w:rsidP="00BF6A3C">
      <w:pPr>
        <w:ind w:firstLine="567"/>
        <w:rPr>
          <w:rFonts w:ascii="Times New Roman" w:hAnsi="Times New Roman"/>
          <w:sz w:val="24"/>
          <w:szCs w:val="24"/>
          <w:lang w:val="en-US"/>
        </w:rPr>
      </w:pPr>
      <w:r w:rsidRPr="00BD51FA">
        <w:rPr>
          <w:rFonts w:ascii="Times New Roman" w:hAnsi="Times New Roman"/>
          <w:sz w:val="24"/>
          <w:szCs w:val="24"/>
          <w:lang w:val="en-US"/>
        </w:rPr>
        <w:t xml:space="preserve">The findings of the present study indicate that both pure white oregano EO applied at quantities of 3–10 µl and its solutions at concentrations above 1 µl/ml (0.1%) cause very high mortality in adults of </w:t>
      </w:r>
      <w:r w:rsidRPr="00BD51FA">
        <w:rPr>
          <w:rFonts w:ascii="Times New Roman" w:hAnsi="Times New Roman"/>
          <w:i/>
          <w:iCs/>
          <w:sz w:val="24"/>
          <w:szCs w:val="24"/>
          <w:lang w:val="en-US"/>
        </w:rPr>
        <w:t>D. v. virgifera</w:t>
      </w:r>
      <w:r w:rsidRPr="00BD51FA">
        <w:rPr>
          <w:rFonts w:ascii="Times New Roman" w:hAnsi="Times New Roman"/>
          <w:sz w:val="24"/>
          <w:szCs w:val="24"/>
          <w:lang w:val="en-US"/>
        </w:rPr>
        <w:t xml:space="preserve"> – over 98% in experiments with pure oil and over 92% in experiments with emulsions.</w:t>
      </w:r>
      <w:r>
        <w:rPr>
          <w:rFonts w:ascii="Times New Roman" w:hAnsi="Times New Roman"/>
          <w:sz w:val="24"/>
          <w:szCs w:val="24"/>
        </w:rPr>
        <w:t xml:space="preserve"> </w:t>
      </w:r>
      <w:r w:rsidRPr="00BD51FA">
        <w:rPr>
          <w:rFonts w:ascii="Times New Roman" w:hAnsi="Times New Roman"/>
          <w:sz w:val="24"/>
          <w:szCs w:val="24"/>
          <w:lang w:val="en-US"/>
        </w:rPr>
        <w:t xml:space="preserve">The observed high insecticidal activity of white oregano EO against adults of </w:t>
      </w:r>
      <w:r w:rsidRPr="00BD51FA">
        <w:rPr>
          <w:rFonts w:ascii="Times New Roman" w:hAnsi="Times New Roman"/>
          <w:i/>
          <w:iCs/>
          <w:sz w:val="24"/>
          <w:szCs w:val="24"/>
          <w:lang w:val="en-US"/>
        </w:rPr>
        <w:t>D. v. virgifera</w:t>
      </w:r>
      <w:r w:rsidRPr="00BD51FA">
        <w:rPr>
          <w:rFonts w:ascii="Times New Roman" w:hAnsi="Times New Roman"/>
          <w:sz w:val="24"/>
          <w:szCs w:val="24"/>
          <w:lang w:val="en-US"/>
        </w:rPr>
        <w:t xml:space="preserve"> under laboratory conditions provides sufficient justification for further investigations. The obtained results represent a solid basis for the potential use of white oregano EO as a botanical insecticide within </w:t>
      </w:r>
      <w:r w:rsidR="00DC1BB9">
        <w:rPr>
          <w:rFonts w:ascii="Times New Roman" w:hAnsi="Times New Roman"/>
          <w:sz w:val="24"/>
          <w:szCs w:val="24"/>
          <w:lang w:val="en-US"/>
        </w:rPr>
        <w:t>IPM</w:t>
      </w:r>
      <w:r w:rsidRPr="00BD51FA">
        <w:rPr>
          <w:rFonts w:ascii="Times New Roman" w:hAnsi="Times New Roman"/>
          <w:sz w:val="24"/>
          <w:szCs w:val="24"/>
          <w:lang w:val="en-US"/>
        </w:rPr>
        <w:t xml:space="preserve"> programmes for the control of western corn rootworm.</w:t>
      </w:r>
      <w:r>
        <w:rPr>
          <w:rFonts w:ascii="Times New Roman" w:hAnsi="Times New Roman"/>
          <w:sz w:val="24"/>
          <w:szCs w:val="24"/>
        </w:rPr>
        <w:t xml:space="preserve"> </w:t>
      </w:r>
      <w:r w:rsidRPr="00BD51FA">
        <w:rPr>
          <w:rFonts w:ascii="Times New Roman" w:hAnsi="Times New Roman"/>
          <w:sz w:val="24"/>
          <w:szCs w:val="24"/>
          <w:lang w:val="en-US"/>
        </w:rPr>
        <w:t xml:space="preserve">The results of the laboratory experiment with the entomopathogenic fungus showed that the </w:t>
      </w:r>
      <w:r w:rsidRPr="00BD51FA">
        <w:rPr>
          <w:rFonts w:ascii="Times New Roman" w:hAnsi="Times New Roman"/>
          <w:i/>
          <w:iCs/>
          <w:sz w:val="24"/>
          <w:szCs w:val="24"/>
          <w:lang w:val="en-US"/>
        </w:rPr>
        <w:t>M. pemphigi</w:t>
      </w:r>
      <w:r w:rsidRPr="00BD51FA">
        <w:rPr>
          <w:rFonts w:ascii="Times New Roman" w:hAnsi="Times New Roman"/>
          <w:sz w:val="24"/>
          <w:szCs w:val="24"/>
          <w:lang w:val="en-US"/>
        </w:rPr>
        <w:t xml:space="preserve"> strain AMEP28 can infect and cause lethal effects in adult individuals of western corn rootworm. However, only the highest concentration of the conidial suspension (2 × 10</w:t>
      </w:r>
      <w:r w:rsidRPr="00BD51FA">
        <w:rPr>
          <w:rFonts w:ascii="Cambria Math" w:hAnsi="Cambria Math" w:cs="Cambria Math"/>
          <w:sz w:val="24"/>
          <w:szCs w:val="24"/>
          <w:lang w:val="en-US"/>
        </w:rPr>
        <w:t>⁷</w:t>
      </w:r>
      <w:r w:rsidRPr="00BD51FA">
        <w:rPr>
          <w:rFonts w:ascii="Times New Roman" w:hAnsi="Times New Roman"/>
          <w:sz w:val="24"/>
          <w:szCs w:val="24"/>
          <w:lang w:val="en-US"/>
        </w:rPr>
        <w:t xml:space="preserve"> conidia/ml) caused a high mortality rate (73%) after an exposure period of 10 days.</w:t>
      </w:r>
    </w:p>
    <w:p w:rsidR="00F6010F" w:rsidRPr="00F6010F" w:rsidRDefault="00F6010F" w:rsidP="00F6010F">
      <w:pPr>
        <w:spacing w:before="100" w:beforeAutospacing="1" w:after="100" w:afterAutospacing="1" w:line="240" w:lineRule="auto"/>
        <w:ind w:firstLine="0"/>
        <w:jc w:val="left"/>
        <w:rPr>
          <w:rFonts w:ascii="Times New Roman" w:hAnsi="Times New Roman"/>
          <w:sz w:val="28"/>
          <w:szCs w:val="28"/>
          <w:lang w:val="en-US"/>
        </w:rPr>
      </w:pPr>
      <w:r w:rsidRPr="00F6010F">
        <w:rPr>
          <w:rFonts w:ascii="Times New Roman" w:hAnsi="Times New Roman"/>
          <w:b/>
          <w:bCs/>
          <w:sz w:val="28"/>
          <w:szCs w:val="28"/>
          <w:lang w:val="en-US"/>
        </w:rPr>
        <w:t xml:space="preserve">4.3. </w:t>
      </w:r>
      <w:r w:rsidRPr="00F6010F">
        <w:rPr>
          <w:rFonts w:ascii="Times New Roman" w:hAnsi="Times New Roman"/>
          <w:b/>
          <w:bCs/>
          <w:i/>
          <w:iCs/>
          <w:sz w:val="28"/>
          <w:szCs w:val="28"/>
          <w:lang w:val="en-US"/>
        </w:rPr>
        <w:t>Oulema melanopus</w:t>
      </w:r>
    </w:p>
    <w:p w:rsidR="00F6010F" w:rsidRPr="00F6010F" w:rsidRDefault="00F6010F" w:rsidP="00241E4C">
      <w:pPr>
        <w:spacing w:before="100" w:beforeAutospacing="1" w:after="100" w:afterAutospacing="1"/>
        <w:ind w:firstLine="0"/>
        <w:jc w:val="left"/>
        <w:outlineLvl w:val="2"/>
        <w:rPr>
          <w:rFonts w:ascii="Times New Roman" w:hAnsi="Times New Roman"/>
          <w:b/>
          <w:bCs/>
          <w:sz w:val="24"/>
          <w:szCs w:val="24"/>
          <w:lang w:val="en-US"/>
        </w:rPr>
      </w:pPr>
      <w:r w:rsidRPr="00F6010F">
        <w:rPr>
          <w:rFonts w:ascii="Times New Roman" w:hAnsi="Times New Roman"/>
          <w:b/>
          <w:bCs/>
          <w:sz w:val="24"/>
          <w:szCs w:val="24"/>
          <w:lang w:val="en-US"/>
        </w:rPr>
        <w:t xml:space="preserve">4.3.1. Evaluation of the efficacy of the bioinsecticide Naturalis against adults of </w:t>
      </w:r>
      <w:r w:rsidRPr="00F6010F">
        <w:rPr>
          <w:rFonts w:ascii="Times New Roman" w:hAnsi="Times New Roman"/>
          <w:b/>
          <w:bCs/>
          <w:i/>
          <w:iCs/>
          <w:sz w:val="24"/>
          <w:szCs w:val="24"/>
          <w:lang w:val="en-US"/>
        </w:rPr>
        <w:t>Oulema melanopus</w:t>
      </w:r>
      <w:r w:rsidRPr="00F6010F">
        <w:rPr>
          <w:rFonts w:ascii="Times New Roman" w:hAnsi="Times New Roman"/>
          <w:b/>
          <w:bCs/>
          <w:sz w:val="24"/>
          <w:szCs w:val="24"/>
          <w:lang w:val="en-US"/>
        </w:rPr>
        <w:t xml:space="preserve"> under laboratory conditions</w:t>
      </w:r>
    </w:p>
    <w:p w:rsidR="00F6010F" w:rsidRPr="00F6010F" w:rsidRDefault="00F6010F" w:rsidP="00BF6A3C">
      <w:pPr>
        <w:spacing w:before="100" w:beforeAutospacing="1" w:after="100" w:afterAutospacing="1"/>
        <w:ind w:firstLine="567"/>
        <w:rPr>
          <w:rFonts w:ascii="Times New Roman" w:hAnsi="Times New Roman"/>
          <w:sz w:val="24"/>
          <w:szCs w:val="24"/>
          <w:lang w:val="en-US"/>
        </w:rPr>
      </w:pPr>
      <w:r w:rsidRPr="00F6010F">
        <w:rPr>
          <w:rFonts w:ascii="Times New Roman" w:hAnsi="Times New Roman"/>
          <w:sz w:val="24"/>
          <w:szCs w:val="24"/>
          <w:lang w:val="en-US"/>
        </w:rPr>
        <w:t xml:space="preserve">In the experiment involving the treatment of adult </w:t>
      </w:r>
      <w:r w:rsidRPr="00F6010F">
        <w:rPr>
          <w:rFonts w:ascii="Times New Roman" w:hAnsi="Times New Roman"/>
          <w:i/>
          <w:iCs/>
          <w:sz w:val="24"/>
          <w:szCs w:val="24"/>
          <w:lang w:val="en-US"/>
        </w:rPr>
        <w:t>O. melanopus</w:t>
      </w:r>
      <w:r w:rsidRPr="00F6010F">
        <w:rPr>
          <w:rFonts w:ascii="Times New Roman" w:hAnsi="Times New Roman"/>
          <w:sz w:val="24"/>
          <w:szCs w:val="24"/>
          <w:lang w:val="en-US"/>
        </w:rPr>
        <w:t xml:space="preserve"> individuals with Naturalis in Petri dishes, the mean mortality of the experimental insects in the control treatment was 17% </w:t>
      </w:r>
      <w:r w:rsidRPr="00F6010F">
        <w:rPr>
          <w:rFonts w:ascii="Times New Roman" w:hAnsi="Times New Roman"/>
          <w:sz w:val="24"/>
          <w:szCs w:val="24"/>
          <w:lang w:val="en-US"/>
        </w:rPr>
        <w:lastRenderedPageBreak/>
        <w:t>(SE: ± 2). During the study period (10 days), the bioinsecticide Naturalis (</w:t>
      </w:r>
      <w:r w:rsidRPr="00F6010F">
        <w:rPr>
          <w:rFonts w:ascii="Times New Roman" w:hAnsi="Times New Roman"/>
          <w:i/>
          <w:iCs/>
          <w:sz w:val="24"/>
          <w:szCs w:val="24"/>
          <w:lang w:val="en-US"/>
        </w:rPr>
        <w:t>B. bassiana</w:t>
      </w:r>
      <w:r w:rsidRPr="00F6010F">
        <w:rPr>
          <w:rFonts w:ascii="Times New Roman" w:hAnsi="Times New Roman"/>
          <w:sz w:val="24"/>
          <w:szCs w:val="24"/>
          <w:lang w:val="en-US"/>
        </w:rPr>
        <w:t>), tested at six concentrations (2.3 × 10² – 2.3 × 10</w:t>
      </w:r>
      <w:r w:rsidRPr="00F6010F">
        <w:rPr>
          <w:rFonts w:ascii="Cambria Math" w:hAnsi="Cambria Math" w:cs="Cambria Math"/>
          <w:sz w:val="24"/>
          <w:szCs w:val="24"/>
          <w:lang w:val="en-US"/>
        </w:rPr>
        <w:t>⁷</w:t>
      </w:r>
      <w:r w:rsidRPr="00F6010F">
        <w:rPr>
          <w:rFonts w:ascii="Times New Roman" w:hAnsi="Times New Roman"/>
          <w:sz w:val="24"/>
          <w:szCs w:val="24"/>
          <w:lang w:val="en-US"/>
        </w:rPr>
        <w:t xml:space="preserve"> conidia/ml distilled water containing 0.01% Tween 80), caused high mortality in adult </w:t>
      </w:r>
      <w:r w:rsidRPr="00F6010F">
        <w:rPr>
          <w:rFonts w:ascii="Times New Roman" w:hAnsi="Times New Roman"/>
          <w:i/>
          <w:iCs/>
          <w:sz w:val="24"/>
          <w:szCs w:val="24"/>
          <w:lang w:val="en-US"/>
        </w:rPr>
        <w:t>O. melanopus</w:t>
      </w:r>
      <w:r w:rsidRPr="00F6010F">
        <w:rPr>
          <w:rFonts w:ascii="Times New Roman" w:hAnsi="Times New Roman"/>
          <w:sz w:val="24"/>
          <w:szCs w:val="24"/>
          <w:lang w:val="en-US"/>
        </w:rPr>
        <w:t xml:space="preserve"> under laboratory conditions at the two highest concentrations, 2.3 × 10</w:t>
      </w:r>
      <w:r w:rsidRPr="00F6010F">
        <w:rPr>
          <w:rFonts w:ascii="Cambria Math" w:hAnsi="Cambria Math" w:cs="Cambria Math"/>
          <w:sz w:val="24"/>
          <w:szCs w:val="24"/>
          <w:lang w:val="en-US"/>
        </w:rPr>
        <w:t>⁶</w:t>
      </w:r>
      <w:r w:rsidRPr="00F6010F">
        <w:rPr>
          <w:rFonts w:ascii="Times New Roman" w:hAnsi="Times New Roman"/>
          <w:sz w:val="24"/>
          <w:szCs w:val="24"/>
          <w:lang w:val="en-US"/>
        </w:rPr>
        <w:t xml:space="preserve"> conidia/ml and 2.3 × 10</w:t>
      </w:r>
      <w:r w:rsidRPr="00F6010F">
        <w:rPr>
          <w:rFonts w:ascii="Cambria Math" w:hAnsi="Cambria Math" w:cs="Cambria Math"/>
          <w:sz w:val="24"/>
          <w:szCs w:val="24"/>
          <w:lang w:val="en-US"/>
        </w:rPr>
        <w:t>⁷</w:t>
      </w:r>
      <w:r w:rsidRPr="00F6010F">
        <w:rPr>
          <w:rFonts w:ascii="Times New Roman" w:hAnsi="Times New Roman"/>
          <w:sz w:val="24"/>
          <w:szCs w:val="24"/>
          <w:lang w:val="en-US"/>
        </w:rPr>
        <w:t xml:space="preserve"> conidia/ml, resulting in 86% and 93% corrected mortality compared with the control, respectively (</w:t>
      </w:r>
      <w:r w:rsidRPr="00411228">
        <w:rPr>
          <w:rFonts w:ascii="Times New Roman" w:hAnsi="Times New Roman"/>
          <w:sz w:val="24"/>
          <w:szCs w:val="24"/>
          <w:lang w:val="en-US"/>
        </w:rPr>
        <w:t>Fig. 14</w:t>
      </w:r>
      <w:r w:rsidRPr="00F6010F">
        <w:rPr>
          <w:rFonts w:ascii="Times New Roman" w:hAnsi="Times New Roman"/>
          <w:sz w:val="24"/>
          <w:szCs w:val="24"/>
          <w:lang w:val="en-US"/>
        </w:rPr>
        <w:t>).</w:t>
      </w:r>
      <w:r w:rsidR="003E3469">
        <w:rPr>
          <w:rFonts w:ascii="Times New Roman" w:hAnsi="Times New Roman"/>
          <w:sz w:val="24"/>
          <w:szCs w:val="24"/>
        </w:rPr>
        <w:t xml:space="preserve"> </w:t>
      </w:r>
      <w:r w:rsidRPr="00F6010F">
        <w:rPr>
          <w:rFonts w:ascii="Times New Roman" w:hAnsi="Times New Roman"/>
          <w:sz w:val="24"/>
          <w:szCs w:val="24"/>
          <w:lang w:val="en-US"/>
        </w:rPr>
        <w:t>The lethal effect increased with increasing concentration of the product. The effects of concentration (F</w:t>
      </w:r>
      <w:r w:rsidRPr="00BF6A3C">
        <w:rPr>
          <w:rFonts w:ascii="Times New Roman" w:hAnsi="Times New Roman"/>
          <w:sz w:val="24"/>
          <w:szCs w:val="24"/>
          <w:vertAlign w:val="subscript"/>
          <w:lang w:val="en-US"/>
        </w:rPr>
        <w:t>(5,180)</w:t>
      </w:r>
      <w:r w:rsidRPr="00F6010F">
        <w:rPr>
          <w:rFonts w:ascii="Times New Roman" w:hAnsi="Times New Roman"/>
          <w:sz w:val="24"/>
          <w:szCs w:val="24"/>
          <w:lang w:val="en-US"/>
        </w:rPr>
        <w:t xml:space="preserve"> = 63.88; P &lt; 0.001) and exposure time (F</w:t>
      </w:r>
      <w:r w:rsidRPr="00BF6A3C">
        <w:rPr>
          <w:rFonts w:ascii="Times New Roman" w:hAnsi="Times New Roman"/>
          <w:sz w:val="24"/>
          <w:szCs w:val="24"/>
          <w:vertAlign w:val="subscript"/>
          <w:lang w:val="en-US"/>
        </w:rPr>
        <w:t>(9,180)</w:t>
      </w:r>
      <w:r w:rsidRPr="00F6010F">
        <w:rPr>
          <w:rFonts w:ascii="Times New Roman" w:hAnsi="Times New Roman"/>
          <w:sz w:val="24"/>
          <w:szCs w:val="24"/>
          <w:lang w:val="en-US"/>
        </w:rPr>
        <w:t xml:space="preserve"> = 23.23; P &lt; 0.001) on mortality </w:t>
      </w:r>
      <w:r w:rsidR="00306AF7">
        <w:rPr>
          <w:rFonts w:ascii="Times New Roman" w:hAnsi="Times New Roman"/>
          <w:sz w:val="24"/>
          <w:szCs w:val="24"/>
          <w:lang w:val="en-US"/>
        </w:rPr>
        <w:t xml:space="preserve">of adults </w:t>
      </w:r>
      <w:r w:rsidRPr="00F6010F">
        <w:rPr>
          <w:rFonts w:ascii="Times New Roman" w:hAnsi="Times New Roman"/>
          <w:sz w:val="24"/>
          <w:szCs w:val="24"/>
          <w:lang w:val="en-US"/>
        </w:rPr>
        <w:t>were statistically significant. A statistically significant interaction between concentration and exposure time was also observed (F</w:t>
      </w:r>
      <w:r w:rsidRPr="00BF6A3C">
        <w:rPr>
          <w:rFonts w:ascii="Times New Roman" w:hAnsi="Times New Roman"/>
          <w:sz w:val="24"/>
          <w:szCs w:val="24"/>
          <w:vertAlign w:val="subscript"/>
          <w:lang w:val="en-US"/>
        </w:rPr>
        <w:t>(45,180)</w:t>
      </w:r>
      <w:r w:rsidRPr="00F6010F">
        <w:rPr>
          <w:rFonts w:ascii="Times New Roman" w:hAnsi="Times New Roman"/>
          <w:sz w:val="24"/>
          <w:szCs w:val="24"/>
          <w:lang w:val="en-US"/>
        </w:rPr>
        <w:t xml:space="preserve"> = 1.57; P = 0.029).</w:t>
      </w:r>
      <w:r w:rsidR="003E3469">
        <w:rPr>
          <w:rFonts w:ascii="Times New Roman" w:hAnsi="Times New Roman"/>
          <w:sz w:val="24"/>
          <w:szCs w:val="24"/>
        </w:rPr>
        <w:t xml:space="preserve"> </w:t>
      </w:r>
      <w:r w:rsidRPr="00F6010F">
        <w:rPr>
          <w:rFonts w:ascii="Times New Roman" w:hAnsi="Times New Roman"/>
          <w:sz w:val="24"/>
          <w:szCs w:val="24"/>
          <w:lang w:val="en-US"/>
        </w:rPr>
        <w:t xml:space="preserve">Differences in mortality levels among adult </w:t>
      </w:r>
      <w:r w:rsidRPr="00F6010F">
        <w:rPr>
          <w:rFonts w:ascii="Times New Roman" w:hAnsi="Times New Roman"/>
          <w:i/>
          <w:iCs/>
          <w:sz w:val="24"/>
          <w:szCs w:val="24"/>
          <w:lang w:val="en-US"/>
        </w:rPr>
        <w:t>O. melanopus</w:t>
      </w:r>
      <w:r w:rsidRPr="00F6010F">
        <w:rPr>
          <w:rFonts w:ascii="Times New Roman" w:hAnsi="Times New Roman"/>
          <w:sz w:val="24"/>
          <w:szCs w:val="24"/>
          <w:lang w:val="en-US"/>
        </w:rPr>
        <w:t xml:space="preserve"> treated with different conidial concentrations were significant (F</w:t>
      </w:r>
      <w:r w:rsidRPr="00BF6A3C">
        <w:rPr>
          <w:rFonts w:ascii="Times New Roman" w:hAnsi="Times New Roman"/>
          <w:sz w:val="24"/>
          <w:szCs w:val="24"/>
          <w:vertAlign w:val="subscript"/>
          <w:lang w:val="en-US"/>
        </w:rPr>
        <w:t>(5,18)</w:t>
      </w:r>
      <w:r w:rsidRPr="00F6010F">
        <w:rPr>
          <w:rFonts w:ascii="Times New Roman" w:hAnsi="Times New Roman"/>
          <w:sz w:val="24"/>
          <w:szCs w:val="24"/>
          <w:lang w:val="en-US"/>
        </w:rPr>
        <w:t xml:space="preserve"> = 7.42; P = 0.003). High mortality levels (&gt;</w:t>
      </w:r>
      <w:r w:rsidR="00306AF7">
        <w:rPr>
          <w:rFonts w:ascii="Times New Roman" w:hAnsi="Times New Roman"/>
          <w:sz w:val="24"/>
          <w:szCs w:val="24"/>
          <w:lang w:val="en-US"/>
        </w:rPr>
        <w:t xml:space="preserve"> </w:t>
      </w:r>
      <w:r w:rsidRPr="00F6010F">
        <w:rPr>
          <w:rFonts w:ascii="Times New Roman" w:hAnsi="Times New Roman"/>
          <w:sz w:val="24"/>
          <w:szCs w:val="24"/>
          <w:lang w:val="en-US"/>
        </w:rPr>
        <w:t>88%) were observed only at the two highest conidial concentrations, 2.3 × 10</w:t>
      </w:r>
      <w:r w:rsidRPr="00F6010F">
        <w:rPr>
          <w:rFonts w:ascii="Cambria Math" w:hAnsi="Cambria Math" w:cs="Cambria Math"/>
          <w:sz w:val="24"/>
          <w:szCs w:val="24"/>
          <w:lang w:val="en-US"/>
        </w:rPr>
        <w:t>⁶</w:t>
      </w:r>
      <w:r w:rsidRPr="00F6010F">
        <w:rPr>
          <w:rFonts w:ascii="Times New Roman" w:hAnsi="Times New Roman"/>
          <w:sz w:val="24"/>
          <w:szCs w:val="24"/>
          <w:lang w:val="en-US"/>
        </w:rPr>
        <w:t xml:space="preserve"> and 2.3 × 10</w:t>
      </w:r>
      <w:r w:rsidRPr="00F6010F">
        <w:rPr>
          <w:rFonts w:ascii="Cambria Math" w:hAnsi="Cambria Math" w:cs="Cambria Math"/>
          <w:sz w:val="24"/>
          <w:szCs w:val="24"/>
          <w:lang w:val="en-US"/>
        </w:rPr>
        <w:t>⁷</w:t>
      </w:r>
      <w:r w:rsidRPr="00F6010F">
        <w:rPr>
          <w:rFonts w:ascii="Times New Roman" w:hAnsi="Times New Roman"/>
          <w:sz w:val="24"/>
          <w:szCs w:val="24"/>
          <w:lang w:val="en-US"/>
        </w:rPr>
        <w:t xml:space="preserve"> conidia/ml, which differed significantly from the mean mortality caused by concentrations ranging from 2.3 × 10² to 2.3 × 10</w:t>
      </w:r>
      <w:r w:rsidRPr="00F6010F">
        <w:rPr>
          <w:rFonts w:ascii="Cambria Math" w:hAnsi="Cambria Math" w:cs="Cambria Math"/>
          <w:sz w:val="24"/>
          <w:szCs w:val="24"/>
          <w:lang w:val="en-US"/>
        </w:rPr>
        <w:t>⁴</w:t>
      </w:r>
      <w:r w:rsidRPr="00F6010F">
        <w:rPr>
          <w:rFonts w:ascii="Times New Roman" w:hAnsi="Times New Roman"/>
          <w:sz w:val="24"/>
          <w:szCs w:val="24"/>
          <w:lang w:val="en-US"/>
        </w:rPr>
        <w:t xml:space="preserve"> conidia/ml (ANOVA followed by LSD test; P &lt; 0.05).</w:t>
      </w:r>
      <w:r w:rsidR="003E3469">
        <w:rPr>
          <w:rFonts w:ascii="Times New Roman" w:hAnsi="Times New Roman"/>
          <w:sz w:val="24"/>
          <w:szCs w:val="24"/>
        </w:rPr>
        <w:t xml:space="preserve"> </w:t>
      </w:r>
      <w:r w:rsidRPr="00F6010F">
        <w:rPr>
          <w:rFonts w:ascii="Times New Roman" w:hAnsi="Times New Roman"/>
          <w:sz w:val="24"/>
          <w:szCs w:val="24"/>
          <w:lang w:val="en-US"/>
        </w:rPr>
        <w:t>The conidial suspension concentrations causing LC</w:t>
      </w:r>
      <w:r w:rsidRPr="00F6010F">
        <w:rPr>
          <w:rFonts w:ascii="Cambria Math" w:hAnsi="Cambria Math" w:cs="Cambria Math"/>
          <w:sz w:val="24"/>
          <w:szCs w:val="24"/>
          <w:lang w:val="en-US"/>
        </w:rPr>
        <w:t>₅₀</w:t>
      </w:r>
      <w:r w:rsidRPr="00F6010F">
        <w:rPr>
          <w:rFonts w:ascii="Times New Roman" w:hAnsi="Times New Roman"/>
          <w:sz w:val="24"/>
          <w:szCs w:val="24"/>
          <w:lang w:val="en-US"/>
        </w:rPr>
        <w:t xml:space="preserve"> and LC</w:t>
      </w:r>
      <w:r w:rsidRPr="00F6010F">
        <w:rPr>
          <w:rFonts w:ascii="Cambria Math" w:hAnsi="Cambria Math" w:cs="Cambria Math"/>
          <w:sz w:val="24"/>
          <w:szCs w:val="24"/>
          <w:lang w:val="en-US"/>
        </w:rPr>
        <w:t>₉₀</w:t>
      </w:r>
      <w:r w:rsidRPr="00F6010F">
        <w:rPr>
          <w:rFonts w:ascii="Times New Roman" w:hAnsi="Times New Roman"/>
          <w:sz w:val="24"/>
          <w:szCs w:val="24"/>
          <w:lang w:val="en-US"/>
        </w:rPr>
        <w:t xml:space="preserve"> mortality in adult </w:t>
      </w:r>
      <w:r w:rsidRPr="00F6010F">
        <w:rPr>
          <w:rFonts w:ascii="Times New Roman" w:hAnsi="Times New Roman"/>
          <w:i/>
          <w:iCs/>
          <w:sz w:val="24"/>
          <w:szCs w:val="24"/>
          <w:lang w:val="en-US"/>
        </w:rPr>
        <w:t>O. melanopus</w:t>
      </w:r>
      <w:r w:rsidRPr="00F6010F">
        <w:rPr>
          <w:rFonts w:ascii="Times New Roman" w:hAnsi="Times New Roman"/>
          <w:sz w:val="24"/>
          <w:szCs w:val="24"/>
          <w:lang w:val="en-US"/>
        </w:rPr>
        <w:t xml:space="preserve"> were 8.3 × 10</w:t>
      </w:r>
      <w:r w:rsidRPr="00F6010F">
        <w:rPr>
          <w:rFonts w:ascii="Cambria Math" w:hAnsi="Cambria Math" w:cs="Cambria Math"/>
          <w:sz w:val="24"/>
          <w:szCs w:val="24"/>
          <w:lang w:val="en-US"/>
        </w:rPr>
        <w:t>⁴</w:t>
      </w:r>
      <w:r w:rsidRPr="00F6010F">
        <w:rPr>
          <w:rFonts w:ascii="Times New Roman" w:hAnsi="Times New Roman"/>
          <w:sz w:val="24"/>
          <w:szCs w:val="24"/>
          <w:lang w:val="en-US"/>
        </w:rPr>
        <w:t xml:space="preserve"> conidia/ml (95% CI</w:t>
      </w:r>
      <w:r w:rsidR="00306AF7">
        <w:rPr>
          <w:rFonts w:ascii="Times New Roman" w:hAnsi="Times New Roman"/>
          <w:sz w:val="24"/>
          <w:szCs w:val="24"/>
          <w:lang w:val="en-US"/>
        </w:rPr>
        <w:t>s</w:t>
      </w:r>
      <w:r w:rsidRPr="00F6010F">
        <w:rPr>
          <w:rFonts w:ascii="Times New Roman" w:hAnsi="Times New Roman"/>
          <w:sz w:val="24"/>
          <w:szCs w:val="24"/>
          <w:lang w:val="en-US"/>
        </w:rPr>
        <w:t>: 1.1 × 10</w:t>
      </w:r>
      <w:r w:rsidRPr="00F6010F">
        <w:rPr>
          <w:rFonts w:ascii="Cambria Math" w:hAnsi="Cambria Math" w:cs="Cambria Math"/>
          <w:sz w:val="24"/>
          <w:szCs w:val="24"/>
          <w:lang w:val="en-US"/>
        </w:rPr>
        <w:t>⁴</w:t>
      </w:r>
      <w:r w:rsidRPr="00F6010F">
        <w:rPr>
          <w:rFonts w:ascii="Times New Roman" w:hAnsi="Times New Roman"/>
          <w:sz w:val="24"/>
          <w:szCs w:val="24"/>
          <w:lang w:val="en-US"/>
        </w:rPr>
        <w:t xml:space="preserve"> – 9.1 × 10</w:t>
      </w:r>
      <w:r w:rsidRPr="00F6010F">
        <w:rPr>
          <w:rFonts w:ascii="Cambria Math" w:hAnsi="Cambria Math" w:cs="Cambria Math"/>
          <w:sz w:val="24"/>
          <w:szCs w:val="24"/>
          <w:lang w:val="en-US"/>
        </w:rPr>
        <w:t>⁵</w:t>
      </w:r>
      <w:r w:rsidRPr="00F6010F">
        <w:rPr>
          <w:rFonts w:ascii="Times New Roman" w:hAnsi="Times New Roman"/>
          <w:sz w:val="24"/>
          <w:szCs w:val="24"/>
          <w:lang w:val="en-US"/>
        </w:rPr>
        <w:t xml:space="preserve"> conidia/ml) and 8.2 × 10</w:t>
      </w:r>
      <w:r w:rsidRPr="00F6010F">
        <w:rPr>
          <w:rFonts w:ascii="Cambria Math" w:hAnsi="Cambria Math" w:cs="Cambria Math"/>
          <w:sz w:val="24"/>
          <w:szCs w:val="24"/>
          <w:lang w:val="en-US"/>
        </w:rPr>
        <w:t>⁶</w:t>
      </w:r>
      <w:r w:rsidRPr="00F6010F">
        <w:rPr>
          <w:rFonts w:ascii="Times New Roman" w:hAnsi="Times New Roman"/>
          <w:sz w:val="24"/>
          <w:szCs w:val="24"/>
          <w:lang w:val="en-US"/>
        </w:rPr>
        <w:t xml:space="preserve"> conidia/ml (95% CI</w:t>
      </w:r>
      <w:r w:rsidR="00306AF7">
        <w:rPr>
          <w:rFonts w:ascii="Times New Roman" w:hAnsi="Times New Roman"/>
          <w:sz w:val="24"/>
          <w:szCs w:val="24"/>
          <w:lang w:val="en-US"/>
        </w:rPr>
        <w:t>s</w:t>
      </w:r>
      <w:r w:rsidRPr="00F6010F">
        <w:rPr>
          <w:rFonts w:ascii="Times New Roman" w:hAnsi="Times New Roman"/>
          <w:sz w:val="24"/>
          <w:szCs w:val="24"/>
          <w:lang w:val="en-US"/>
        </w:rPr>
        <w:t>: 7.5 × 10</w:t>
      </w:r>
      <w:r w:rsidRPr="00F6010F">
        <w:rPr>
          <w:rFonts w:ascii="Cambria Math" w:hAnsi="Cambria Math" w:cs="Cambria Math"/>
          <w:sz w:val="24"/>
          <w:szCs w:val="24"/>
          <w:lang w:val="en-US"/>
        </w:rPr>
        <w:t>⁵</w:t>
      </w:r>
      <w:r w:rsidRPr="00F6010F">
        <w:rPr>
          <w:rFonts w:ascii="Times New Roman" w:hAnsi="Times New Roman"/>
          <w:sz w:val="24"/>
          <w:szCs w:val="24"/>
          <w:lang w:val="en-US"/>
        </w:rPr>
        <w:t xml:space="preserve"> – 8.9 × 10</w:t>
      </w:r>
      <w:r w:rsidRPr="00F6010F">
        <w:rPr>
          <w:rFonts w:ascii="Cambria Math" w:hAnsi="Cambria Math" w:cs="Cambria Math"/>
          <w:sz w:val="24"/>
          <w:szCs w:val="24"/>
          <w:lang w:val="en-US"/>
        </w:rPr>
        <w:t>⁷</w:t>
      </w:r>
      <w:r w:rsidRPr="00F6010F">
        <w:rPr>
          <w:rFonts w:ascii="Times New Roman" w:hAnsi="Times New Roman"/>
          <w:sz w:val="24"/>
          <w:szCs w:val="24"/>
          <w:lang w:val="en-US"/>
        </w:rPr>
        <w:t xml:space="preserve"> conidia/ml), respectively.</w:t>
      </w:r>
    </w:p>
    <w:p w:rsidR="00A85EB0" w:rsidRPr="00A85EB0" w:rsidRDefault="00BA2DF8" w:rsidP="00BA2DF8">
      <w:pPr>
        <w:ind w:firstLine="0"/>
        <w:rPr>
          <w:rFonts w:ascii="Times New Roman" w:hAnsi="Times New Roman"/>
          <w:sz w:val="24"/>
          <w:szCs w:val="24"/>
          <w:lang w:eastAsia="bg-BG"/>
        </w:rPr>
      </w:pPr>
      <w:r>
        <w:rPr>
          <w:rFonts w:ascii="Times New Roman" w:eastAsia="HiddenHorzOCR" w:hAnsi="Times New Roman"/>
          <w:sz w:val="24"/>
          <w:szCs w:val="24"/>
        </w:rPr>
        <w:t xml:space="preserve">         </w:t>
      </w:r>
      <w:r w:rsidR="00FF3F58">
        <w:rPr>
          <w:rFonts w:ascii="Times New Roman" w:eastAsia="HiddenHorzOCR" w:hAnsi="Times New Roman"/>
          <w:sz w:val="24"/>
          <w:szCs w:val="24"/>
        </w:rPr>
        <w:t xml:space="preserve"> </w:t>
      </w:r>
      <w:r w:rsidR="00686510" w:rsidRPr="00686510">
        <w:rPr>
          <w:rFonts w:ascii="Times New Roman" w:hAnsi="Times New Roman"/>
          <w:noProof/>
          <w:sz w:val="24"/>
          <w:szCs w:val="24"/>
          <w:lang w:val="en-US"/>
        </w:rPr>
        <w:drawing>
          <wp:inline distT="0" distB="0" distL="0" distR="0">
            <wp:extent cx="5019675" cy="2428875"/>
            <wp:effectExtent l="0" t="0" r="9525" b="9525"/>
            <wp:docPr id="17" name="Chart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9064D1" w:rsidRPr="003950A4" w:rsidRDefault="003E3469" w:rsidP="00411228">
      <w:pPr>
        <w:spacing w:before="100" w:beforeAutospacing="1" w:after="100" w:afterAutospacing="1" w:line="240" w:lineRule="auto"/>
        <w:ind w:firstLine="0"/>
        <w:rPr>
          <w:rFonts w:cstheme="minorHAnsi"/>
          <w:sz w:val="24"/>
          <w:szCs w:val="24"/>
          <w:lang w:val="en-US"/>
        </w:rPr>
      </w:pPr>
      <w:r w:rsidRPr="003950A4">
        <w:rPr>
          <w:rFonts w:cstheme="minorHAnsi"/>
          <w:b/>
          <w:bCs/>
          <w:sz w:val="24"/>
          <w:szCs w:val="24"/>
          <w:lang w:val="en-US"/>
        </w:rPr>
        <w:t>Fig. 14</w:t>
      </w:r>
      <w:r w:rsidR="009064D1" w:rsidRPr="003950A4">
        <w:rPr>
          <w:rFonts w:cstheme="minorHAnsi"/>
          <w:b/>
          <w:bCs/>
          <w:sz w:val="24"/>
          <w:szCs w:val="24"/>
          <w:lang w:val="en-US"/>
        </w:rPr>
        <w:t>.</w:t>
      </w:r>
      <w:r w:rsidR="009064D1" w:rsidRPr="003950A4">
        <w:rPr>
          <w:rFonts w:cstheme="minorHAnsi"/>
          <w:sz w:val="24"/>
          <w:szCs w:val="24"/>
          <w:lang w:val="en-US"/>
        </w:rPr>
        <w:t xml:space="preserve"> Cumulative mortality (%) of adult </w:t>
      </w:r>
      <w:r w:rsidR="009064D1" w:rsidRPr="003950A4">
        <w:rPr>
          <w:rFonts w:cstheme="minorHAnsi"/>
          <w:i/>
          <w:iCs/>
          <w:sz w:val="24"/>
          <w:szCs w:val="24"/>
          <w:lang w:val="en-US"/>
        </w:rPr>
        <w:t>Oulema melanopus</w:t>
      </w:r>
      <w:r w:rsidR="009064D1" w:rsidRPr="003950A4">
        <w:rPr>
          <w:rFonts w:cstheme="minorHAnsi"/>
          <w:sz w:val="24"/>
          <w:szCs w:val="24"/>
          <w:lang w:val="en-US"/>
        </w:rPr>
        <w:t xml:space="preserve"> treated with different concentrations of </w:t>
      </w:r>
      <w:r w:rsidR="009064D1" w:rsidRPr="003950A4">
        <w:rPr>
          <w:rFonts w:cstheme="minorHAnsi"/>
          <w:i/>
          <w:iCs/>
          <w:sz w:val="24"/>
          <w:szCs w:val="24"/>
          <w:lang w:val="en-US"/>
        </w:rPr>
        <w:t>B. bassiana</w:t>
      </w:r>
      <w:r w:rsidR="009064D1" w:rsidRPr="003950A4">
        <w:rPr>
          <w:rFonts w:cstheme="minorHAnsi"/>
          <w:sz w:val="24"/>
          <w:szCs w:val="24"/>
          <w:lang w:val="en-US"/>
        </w:rPr>
        <w:t xml:space="preserve"> (2.3 × 10² – 2.3 × 10⁷ conidia/ml).</w:t>
      </w:r>
    </w:p>
    <w:p w:rsidR="009064D1" w:rsidRPr="009064D1" w:rsidRDefault="009064D1" w:rsidP="00306AF7">
      <w:pPr>
        <w:spacing w:before="100" w:beforeAutospacing="1" w:after="100" w:afterAutospacing="1"/>
        <w:ind w:firstLine="567"/>
        <w:jc w:val="left"/>
        <w:rPr>
          <w:rFonts w:ascii="Times New Roman" w:hAnsi="Times New Roman"/>
          <w:sz w:val="24"/>
          <w:szCs w:val="24"/>
          <w:lang w:val="en-US"/>
        </w:rPr>
      </w:pPr>
      <w:r w:rsidRPr="009064D1">
        <w:rPr>
          <w:rFonts w:ascii="Times New Roman" w:hAnsi="Times New Roman"/>
          <w:sz w:val="24"/>
          <w:szCs w:val="24"/>
          <w:lang w:val="en-US"/>
        </w:rPr>
        <w:t xml:space="preserve">Insect fungal mycelium was observed only on the carcasses of adult cereal leaf beetles treated with </w:t>
      </w:r>
      <w:r w:rsidRPr="009064D1">
        <w:rPr>
          <w:rFonts w:ascii="Times New Roman" w:hAnsi="Times New Roman"/>
          <w:i/>
          <w:iCs/>
          <w:sz w:val="24"/>
          <w:szCs w:val="24"/>
          <w:lang w:val="en-US"/>
        </w:rPr>
        <w:t>B. bassiana</w:t>
      </w:r>
      <w:r w:rsidRPr="009064D1">
        <w:rPr>
          <w:rFonts w:ascii="Times New Roman" w:hAnsi="Times New Roman"/>
          <w:sz w:val="24"/>
          <w:szCs w:val="24"/>
          <w:lang w:val="en-US"/>
        </w:rPr>
        <w:t xml:space="preserve">. Only 2% of the dead adults in the Naturalis variants were without white </w:t>
      </w:r>
      <w:r w:rsidRPr="009064D1">
        <w:rPr>
          <w:rFonts w:ascii="Times New Roman" w:hAnsi="Times New Roman"/>
          <w:sz w:val="24"/>
          <w:szCs w:val="24"/>
          <w:lang w:val="en-US"/>
        </w:rPr>
        <w:lastRenderedPageBreak/>
        <w:t>mycelium. At the lowest fungal concentration, 11% of the dead adults showed the presence of white mycelium. The highest percentage of dead adults exhibiting mycosis was recorded at th</w:t>
      </w:r>
      <w:r w:rsidR="003E3469">
        <w:rPr>
          <w:rFonts w:ascii="Times New Roman" w:hAnsi="Times New Roman"/>
          <w:sz w:val="24"/>
          <w:szCs w:val="24"/>
          <w:lang w:val="en-US"/>
        </w:rPr>
        <w:t>e highest tested concentration.</w:t>
      </w:r>
      <w:r w:rsidR="003E3469">
        <w:rPr>
          <w:rFonts w:ascii="Times New Roman" w:hAnsi="Times New Roman"/>
          <w:sz w:val="24"/>
          <w:szCs w:val="24"/>
        </w:rPr>
        <w:t xml:space="preserve"> </w:t>
      </w:r>
      <w:r w:rsidRPr="009064D1">
        <w:rPr>
          <w:rFonts w:ascii="Times New Roman" w:hAnsi="Times New Roman"/>
          <w:sz w:val="24"/>
          <w:szCs w:val="24"/>
          <w:lang w:val="en-US"/>
        </w:rPr>
        <w:t>LT</w:t>
      </w:r>
      <w:r w:rsidRPr="00BF6A3C">
        <w:rPr>
          <w:rFonts w:ascii="Times New Roman" w:hAnsi="Times New Roman"/>
          <w:sz w:val="24"/>
          <w:szCs w:val="24"/>
          <w:vertAlign w:val="subscript"/>
          <w:lang w:val="en-US"/>
        </w:rPr>
        <w:t>50</w:t>
      </w:r>
      <w:r w:rsidRPr="009064D1">
        <w:rPr>
          <w:rFonts w:ascii="Times New Roman" w:hAnsi="Times New Roman"/>
          <w:sz w:val="24"/>
          <w:szCs w:val="24"/>
          <w:lang w:val="en-US"/>
        </w:rPr>
        <w:t xml:space="preserve"> values ranged from 26 days at the lowest concentration to two days at the highest concentration of conidia of the product.</w:t>
      </w:r>
    </w:p>
    <w:p w:rsidR="006A373B" w:rsidRPr="006A373B" w:rsidRDefault="006A373B" w:rsidP="00241E4C">
      <w:pPr>
        <w:spacing w:line="240" w:lineRule="auto"/>
        <w:ind w:firstLine="0"/>
        <w:jc w:val="left"/>
        <w:outlineLvl w:val="2"/>
        <w:rPr>
          <w:rFonts w:ascii="Times New Roman" w:hAnsi="Times New Roman"/>
          <w:b/>
          <w:bCs/>
          <w:sz w:val="24"/>
          <w:szCs w:val="24"/>
          <w:lang w:val="en-US"/>
        </w:rPr>
      </w:pPr>
      <w:r w:rsidRPr="006A373B">
        <w:rPr>
          <w:rFonts w:ascii="Times New Roman" w:hAnsi="Times New Roman"/>
          <w:b/>
          <w:bCs/>
          <w:sz w:val="24"/>
          <w:szCs w:val="24"/>
          <w:lang w:val="en-US"/>
        </w:rPr>
        <w:t xml:space="preserve">4.3.2. Evaluation of the efficacy of the bioinsecticide Naturalis against larvae of </w:t>
      </w:r>
      <w:r w:rsidRPr="006A373B">
        <w:rPr>
          <w:rFonts w:ascii="Times New Roman" w:hAnsi="Times New Roman"/>
          <w:b/>
          <w:bCs/>
          <w:i/>
          <w:iCs/>
          <w:sz w:val="24"/>
          <w:szCs w:val="24"/>
          <w:lang w:val="en-US"/>
        </w:rPr>
        <w:t>Oulema melanopus</w:t>
      </w:r>
      <w:r w:rsidRPr="006A373B">
        <w:rPr>
          <w:rFonts w:ascii="Times New Roman" w:hAnsi="Times New Roman"/>
          <w:b/>
          <w:bCs/>
          <w:sz w:val="24"/>
          <w:szCs w:val="24"/>
          <w:lang w:val="en-US"/>
        </w:rPr>
        <w:t xml:space="preserve"> under laboratory conditions</w:t>
      </w:r>
    </w:p>
    <w:p w:rsidR="00241E4C" w:rsidRDefault="00241E4C" w:rsidP="00241E4C">
      <w:pPr>
        <w:ind w:firstLine="567"/>
        <w:rPr>
          <w:rFonts w:ascii="Times New Roman" w:hAnsi="Times New Roman"/>
          <w:sz w:val="24"/>
          <w:szCs w:val="24"/>
          <w:lang w:val="en-US"/>
        </w:rPr>
      </w:pPr>
    </w:p>
    <w:p w:rsidR="006A373B" w:rsidRPr="006A373B" w:rsidRDefault="006A373B" w:rsidP="00241E4C">
      <w:pPr>
        <w:ind w:firstLine="567"/>
        <w:rPr>
          <w:rFonts w:ascii="Times New Roman" w:hAnsi="Times New Roman"/>
          <w:sz w:val="24"/>
          <w:szCs w:val="24"/>
          <w:lang w:val="en-US"/>
        </w:rPr>
      </w:pPr>
      <w:r w:rsidRPr="006A373B">
        <w:rPr>
          <w:rFonts w:ascii="Times New Roman" w:hAnsi="Times New Roman"/>
          <w:sz w:val="24"/>
          <w:szCs w:val="24"/>
          <w:lang w:val="en-US"/>
        </w:rPr>
        <w:t xml:space="preserve">The mean mortality of </w:t>
      </w:r>
      <w:r w:rsidRPr="006A373B">
        <w:rPr>
          <w:rFonts w:ascii="Times New Roman" w:hAnsi="Times New Roman"/>
          <w:i/>
          <w:iCs/>
          <w:sz w:val="24"/>
          <w:szCs w:val="24"/>
          <w:lang w:val="en-US"/>
        </w:rPr>
        <w:t>O. melanopus</w:t>
      </w:r>
      <w:r w:rsidRPr="006A373B">
        <w:rPr>
          <w:rFonts w:ascii="Times New Roman" w:hAnsi="Times New Roman"/>
          <w:sz w:val="24"/>
          <w:szCs w:val="24"/>
          <w:lang w:val="en-US"/>
        </w:rPr>
        <w:t xml:space="preserve"> larvae in the control treatment was 26.7% (SE: ± 1.7%). The mean mortality percentage of larvae treated with Naturalis was concentration-dependent and increased with increasing conidial concentration and exposure time. At the end of the experiment, high corrected mortality (&gt;95%) was observed in larvae treated with all tested suspensions (</w:t>
      </w:r>
      <w:r w:rsidRPr="003950A4">
        <w:rPr>
          <w:rFonts w:ascii="Times New Roman" w:hAnsi="Times New Roman"/>
          <w:sz w:val="24"/>
          <w:szCs w:val="24"/>
          <w:lang w:val="en-US"/>
        </w:rPr>
        <w:t>Fig. 15</w:t>
      </w:r>
      <w:r w:rsidRPr="006A373B">
        <w:rPr>
          <w:rFonts w:ascii="Times New Roman" w:hAnsi="Times New Roman"/>
          <w:sz w:val="24"/>
          <w:szCs w:val="24"/>
          <w:lang w:val="en-US"/>
        </w:rPr>
        <w:t xml:space="preserve">). Larvae of </w:t>
      </w:r>
      <w:r w:rsidRPr="006A373B">
        <w:rPr>
          <w:rFonts w:ascii="Times New Roman" w:hAnsi="Times New Roman"/>
          <w:i/>
          <w:iCs/>
          <w:sz w:val="24"/>
          <w:szCs w:val="24"/>
          <w:lang w:val="en-US"/>
        </w:rPr>
        <w:t>O. melanopus</w:t>
      </w:r>
      <w:r w:rsidRPr="006A373B">
        <w:rPr>
          <w:rFonts w:ascii="Times New Roman" w:hAnsi="Times New Roman"/>
          <w:sz w:val="24"/>
          <w:szCs w:val="24"/>
          <w:lang w:val="en-US"/>
        </w:rPr>
        <w:t xml:space="preserve"> treated with the highest concentration died within 24 hours after exposure.</w:t>
      </w:r>
      <w:r>
        <w:rPr>
          <w:rFonts w:ascii="Times New Roman" w:hAnsi="Times New Roman"/>
          <w:sz w:val="24"/>
          <w:szCs w:val="24"/>
        </w:rPr>
        <w:t xml:space="preserve"> </w:t>
      </w:r>
      <w:r w:rsidRPr="006A373B">
        <w:rPr>
          <w:rFonts w:ascii="Times New Roman" w:hAnsi="Times New Roman"/>
          <w:sz w:val="24"/>
          <w:szCs w:val="24"/>
          <w:lang w:val="en-US"/>
        </w:rPr>
        <w:t xml:space="preserve">Analysis of variance regarding the concentration of </w:t>
      </w:r>
      <w:r w:rsidRPr="006A373B">
        <w:rPr>
          <w:rFonts w:ascii="Times New Roman" w:hAnsi="Times New Roman"/>
          <w:i/>
          <w:iCs/>
          <w:sz w:val="24"/>
          <w:szCs w:val="24"/>
          <w:lang w:val="en-US"/>
        </w:rPr>
        <w:t>B. bassiana</w:t>
      </w:r>
      <w:r w:rsidRPr="006A373B">
        <w:rPr>
          <w:rFonts w:ascii="Times New Roman" w:hAnsi="Times New Roman"/>
          <w:sz w:val="24"/>
          <w:szCs w:val="24"/>
          <w:lang w:val="en-US"/>
        </w:rPr>
        <w:t xml:space="preserve"> (F</w:t>
      </w:r>
      <w:r w:rsidRPr="00BF6A3C">
        <w:rPr>
          <w:rFonts w:ascii="Times New Roman" w:hAnsi="Times New Roman"/>
          <w:sz w:val="24"/>
          <w:szCs w:val="24"/>
          <w:vertAlign w:val="subscript"/>
          <w:lang w:val="en-US"/>
        </w:rPr>
        <w:t>(5,180)</w:t>
      </w:r>
      <w:r w:rsidRPr="006A373B">
        <w:rPr>
          <w:rFonts w:ascii="Times New Roman" w:hAnsi="Times New Roman"/>
          <w:sz w:val="24"/>
          <w:szCs w:val="24"/>
          <w:lang w:val="en-US"/>
        </w:rPr>
        <w:t xml:space="preserve"> = 55.66; P &lt; 0.001), exposure duration (F</w:t>
      </w:r>
      <w:r w:rsidRPr="00BF6A3C">
        <w:rPr>
          <w:rFonts w:ascii="Times New Roman" w:hAnsi="Times New Roman"/>
          <w:sz w:val="24"/>
          <w:szCs w:val="24"/>
          <w:vertAlign w:val="subscript"/>
          <w:lang w:val="en-US"/>
        </w:rPr>
        <w:t>(9,180)</w:t>
      </w:r>
      <w:r w:rsidRPr="006A373B">
        <w:rPr>
          <w:rFonts w:ascii="Times New Roman" w:hAnsi="Times New Roman"/>
          <w:sz w:val="24"/>
          <w:szCs w:val="24"/>
          <w:lang w:val="en-US"/>
        </w:rPr>
        <w:t xml:space="preserve"> = 218.74; P &lt; 0.001), and their interaction (F</w:t>
      </w:r>
      <w:r w:rsidRPr="00BF6A3C">
        <w:rPr>
          <w:rFonts w:ascii="Times New Roman" w:hAnsi="Times New Roman"/>
          <w:sz w:val="24"/>
          <w:szCs w:val="24"/>
          <w:vertAlign w:val="subscript"/>
          <w:lang w:val="en-US"/>
        </w:rPr>
        <w:t>(45,180)</w:t>
      </w:r>
      <w:r w:rsidRPr="006A373B">
        <w:rPr>
          <w:rFonts w:ascii="Times New Roman" w:hAnsi="Times New Roman"/>
          <w:sz w:val="24"/>
          <w:szCs w:val="24"/>
          <w:lang w:val="en-US"/>
        </w:rPr>
        <w:t xml:space="preserve"> = 10.65; P &lt; 0.001) showed highly significant effects on the mortality levels of </w:t>
      </w:r>
      <w:r w:rsidRPr="006A373B">
        <w:rPr>
          <w:rFonts w:ascii="Times New Roman" w:hAnsi="Times New Roman"/>
          <w:i/>
          <w:iCs/>
          <w:sz w:val="24"/>
          <w:szCs w:val="24"/>
          <w:lang w:val="en-US"/>
        </w:rPr>
        <w:t>O. melanopus</w:t>
      </w:r>
      <w:r w:rsidRPr="006A373B">
        <w:rPr>
          <w:rFonts w:ascii="Times New Roman" w:hAnsi="Times New Roman"/>
          <w:sz w:val="24"/>
          <w:szCs w:val="24"/>
          <w:lang w:val="en-US"/>
        </w:rPr>
        <w:t xml:space="preserve"> larvae.</w:t>
      </w:r>
      <w:r>
        <w:rPr>
          <w:rFonts w:ascii="Times New Roman" w:hAnsi="Times New Roman"/>
          <w:sz w:val="24"/>
          <w:szCs w:val="24"/>
        </w:rPr>
        <w:t xml:space="preserve"> </w:t>
      </w:r>
      <w:r w:rsidRPr="006A373B">
        <w:rPr>
          <w:rFonts w:ascii="Times New Roman" w:hAnsi="Times New Roman"/>
          <w:sz w:val="24"/>
          <w:szCs w:val="24"/>
          <w:lang w:val="en-US"/>
        </w:rPr>
        <w:t>The conidial concentration causing LC</w:t>
      </w:r>
      <w:r w:rsidRPr="006A373B">
        <w:rPr>
          <w:rFonts w:ascii="Cambria Math" w:hAnsi="Cambria Math" w:cs="Cambria Math"/>
          <w:sz w:val="24"/>
          <w:szCs w:val="24"/>
          <w:lang w:val="en-US"/>
        </w:rPr>
        <w:t>₅₀</w:t>
      </w:r>
      <w:r w:rsidRPr="006A373B">
        <w:rPr>
          <w:rFonts w:ascii="Times New Roman" w:hAnsi="Times New Roman"/>
          <w:sz w:val="24"/>
          <w:szCs w:val="24"/>
          <w:lang w:val="en-US"/>
        </w:rPr>
        <w:t xml:space="preserve"> mortality in </w:t>
      </w:r>
      <w:r w:rsidRPr="006A373B">
        <w:rPr>
          <w:rFonts w:ascii="Times New Roman" w:hAnsi="Times New Roman"/>
          <w:i/>
          <w:iCs/>
          <w:sz w:val="24"/>
          <w:szCs w:val="24"/>
          <w:lang w:val="en-US"/>
        </w:rPr>
        <w:t>O. melanopus</w:t>
      </w:r>
      <w:r w:rsidRPr="006A373B">
        <w:rPr>
          <w:rFonts w:ascii="Times New Roman" w:hAnsi="Times New Roman"/>
          <w:sz w:val="24"/>
          <w:szCs w:val="24"/>
          <w:lang w:val="en-US"/>
        </w:rPr>
        <w:t xml:space="preserve"> larvae after 10 days was 4.6 conidia/ml (95% CI</w:t>
      </w:r>
      <w:r w:rsidR="00306AF7">
        <w:rPr>
          <w:rFonts w:ascii="Times New Roman" w:hAnsi="Times New Roman"/>
          <w:sz w:val="24"/>
          <w:szCs w:val="24"/>
          <w:lang w:val="en-US"/>
        </w:rPr>
        <w:t>s</w:t>
      </w:r>
      <w:r w:rsidRPr="006A373B">
        <w:rPr>
          <w:rFonts w:ascii="Times New Roman" w:hAnsi="Times New Roman"/>
          <w:sz w:val="24"/>
          <w:szCs w:val="24"/>
          <w:lang w:val="en-US"/>
        </w:rPr>
        <w:t>: 0.09 – 1.1 × 10</w:t>
      </w:r>
      <w:r w:rsidRPr="006A373B">
        <w:rPr>
          <w:rFonts w:ascii="Cambria Math" w:hAnsi="Cambria Math" w:cs="Cambria Math"/>
          <w:sz w:val="24"/>
          <w:szCs w:val="24"/>
          <w:lang w:val="en-US"/>
        </w:rPr>
        <w:t>⁴</w:t>
      </w:r>
      <w:r w:rsidRPr="006A373B">
        <w:rPr>
          <w:rFonts w:ascii="Times New Roman" w:hAnsi="Times New Roman"/>
          <w:sz w:val="24"/>
          <w:szCs w:val="24"/>
          <w:lang w:val="en-US"/>
        </w:rPr>
        <w:t xml:space="preserve"> conidia/ml), while the LC</w:t>
      </w:r>
      <w:r w:rsidRPr="006A373B">
        <w:rPr>
          <w:rFonts w:ascii="Cambria Math" w:hAnsi="Cambria Math" w:cs="Cambria Math"/>
          <w:sz w:val="24"/>
          <w:szCs w:val="24"/>
          <w:lang w:val="en-US"/>
        </w:rPr>
        <w:t>₉₀</w:t>
      </w:r>
      <w:r w:rsidRPr="006A373B">
        <w:rPr>
          <w:rFonts w:ascii="Times New Roman" w:hAnsi="Times New Roman"/>
          <w:sz w:val="24"/>
          <w:szCs w:val="24"/>
          <w:lang w:val="en-US"/>
        </w:rPr>
        <w:t xml:space="preserve"> value was 6.2 × 10² conidia/ml (95% CI</w:t>
      </w:r>
      <w:r w:rsidR="00306AF7">
        <w:rPr>
          <w:rFonts w:ascii="Times New Roman" w:hAnsi="Times New Roman"/>
          <w:sz w:val="24"/>
          <w:szCs w:val="24"/>
          <w:lang w:val="en-US"/>
        </w:rPr>
        <w:t>s</w:t>
      </w:r>
      <w:r w:rsidRPr="006A373B">
        <w:rPr>
          <w:rFonts w:ascii="Times New Roman" w:hAnsi="Times New Roman"/>
          <w:sz w:val="24"/>
          <w:szCs w:val="24"/>
          <w:lang w:val="en-US"/>
        </w:rPr>
        <w:t>: 0.26 – 1.5 × 10</w:t>
      </w:r>
      <w:r w:rsidRPr="006A373B">
        <w:rPr>
          <w:rFonts w:ascii="Cambria Math" w:hAnsi="Cambria Math" w:cs="Cambria Math"/>
          <w:sz w:val="24"/>
          <w:szCs w:val="24"/>
          <w:lang w:val="en-US"/>
        </w:rPr>
        <w:t>⁶</w:t>
      </w:r>
      <w:r w:rsidRPr="006A373B">
        <w:rPr>
          <w:rFonts w:ascii="Times New Roman" w:hAnsi="Times New Roman"/>
          <w:sz w:val="24"/>
          <w:szCs w:val="24"/>
          <w:lang w:val="en-US"/>
        </w:rPr>
        <w:t xml:space="preserve"> conidia/ml). The LT</w:t>
      </w:r>
      <w:r w:rsidRPr="006A373B">
        <w:rPr>
          <w:rFonts w:ascii="Cambria Math" w:hAnsi="Cambria Math" w:cs="Cambria Math"/>
          <w:sz w:val="24"/>
          <w:szCs w:val="24"/>
          <w:lang w:val="en-US"/>
        </w:rPr>
        <w:t>₅₀</w:t>
      </w:r>
      <w:r w:rsidRPr="006A373B">
        <w:rPr>
          <w:rFonts w:ascii="Times New Roman" w:hAnsi="Times New Roman"/>
          <w:sz w:val="24"/>
          <w:szCs w:val="24"/>
          <w:lang w:val="en-US"/>
        </w:rPr>
        <w:t xml:space="preserve"> values ranged from two to four days for concentrations of 2.3 × 10² to 2.3 × 10</w:t>
      </w:r>
      <w:r w:rsidRPr="006A373B">
        <w:rPr>
          <w:rFonts w:ascii="Cambria Math" w:hAnsi="Cambria Math" w:cs="Cambria Math"/>
          <w:sz w:val="24"/>
          <w:szCs w:val="24"/>
          <w:lang w:val="en-US"/>
        </w:rPr>
        <w:t>⁶</w:t>
      </w:r>
      <w:r w:rsidRPr="006A373B">
        <w:rPr>
          <w:rFonts w:ascii="Times New Roman" w:hAnsi="Times New Roman"/>
          <w:sz w:val="24"/>
          <w:szCs w:val="24"/>
          <w:lang w:val="en-US"/>
        </w:rPr>
        <w:t xml:space="preserve"> conidia/ml.</w:t>
      </w:r>
      <w:r>
        <w:rPr>
          <w:rFonts w:ascii="Times New Roman" w:hAnsi="Times New Roman"/>
          <w:sz w:val="24"/>
          <w:szCs w:val="24"/>
        </w:rPr>
        <w:t xml:space="preserve"> </w:t>
      </w:r>
      <w:r w:rsidRPr="006A373B">
        <w:rPr>
          <w:rFonts w:ascii="Times New Roman" w:hAnsi="Times New Roman"/>
          <w:sz w:val="24"/>
          <w:szCs w:val="24"/>
          <w:lang w:val="en-US"/>
        </w:rPr>
        <w:t>Infected larvae showed 100% whitening, which is a clear symptom of fungal pathogen development (mycosis). This confirms that mortality resulted from the activity of the product regardless of concentration, whereas no signs of mycelial growth were observed in dead individuals from the control group.</w:t>
      </w:r>
    </w:p>
    <w:p w:rsidR="00A85EB0" w:rsidRPr="00A85EB0" w:rsidRDefault="00A85EB0" w:rsidP="00A85EB0">
      <w:pPr>
        <w:ind w:firstLine="562"/>
        <w:rPr>
          <w:rFonts w:ascii="Times New Roman" w:hAnsi="Times New Roman"/>
          <w:b/>
          <w:sz w:val="24"/>
          <w:szCs w:val="24"/>
          <w:lang w:eastAsia="bg-BG"/>
        </w:rPr>
      </w:pPr>
    </w:p>
    <w:p w:rsidR="00A85EB0" w:rsidRPr="00A85EB0" w:rsidRDefault="00B3193E" w:rsidP="00B3193E">
      <w:pPr>
        <w:ind w:firstLine="0"/>
        <w:rPr>
          <w:rFonts w:ascii="Times New Roman" w:hAnsi="Times New Roman"/>
          <w:sz w:val="24"/>
          <w:szCs w:val="24"/>
          <w:lang w:val="en-US" w:eastAsia="bg-BG"/>
        </w:rPr>
      </w:pPr>
      <w:r>
        <w:rPr>
          <w:rFonts w:ascii="Times New Roman" w:hAnsi="Times New Roman"/>
          <w:sz w:val="24"/>
          <w:szCs w:val="24"/>
          <w:lang w:eastAsia="bg-BG"/>
        </w:rPr>
        <w:lastRenderedPageBreak/>
        <w:t xml:space="preserve">        </w:t>
      </w:r>
      <w:r w:rsidR="00686510" w:rsidRPr="00686510">
        <w:rPr>
          <w:rFonts w:ascii="Times New Roman" w:hAnsi="Times New Roman"/>
          <w:noProof/>
          <w:sz w:val="20"/>
          <w:szCs w:val="20"/>
          <w:lang w:val="en-US"/>
        </w:rPr>
        <w:drawing>
          <wp:inline distT="0" distB="0" distL="0" distR="0">
            <wp:extent cx="5207635" cy="2432685"/>
            <wp:effectExtent l="0" t="0" r="0" b="0"/>
            <wp:docPr id="18" name="Chart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9064D1" w:rsidRPr="00241E4C" w:rsidRDefault="009064D1" w:rsidP="009064D1">
      <w:pPr>
        <w:spacing w:before="100" w:beforeAutospacing="1" w:after="100" w:afterAutospacing="1" w:line="240" w:lineRule="auto"/>
        <w:ind w:firstLine="0"/>
        <w:jc w:val="left"/>
        <w:rPr>
          <w:rFonts w:cstheme="minorHAnsi"/>
          <w:lang w:val="en-US"/>
        </w:rPr>
      </w:pPr>
      <w:r w:rsidRPr="00241E4C">
        <w:rPr>
          <w:rFonts w:cstheme="minorHAnsi"/>
          <w:b/>
          <w:bCs/>
          <w:lang w:val="en-US"/>
        </w:rPr>
        <w:t>Fig.</w:t>
      </w:r>
      <w:r w:rsidR="006A373B" w:rsidRPr="00241E4C">
        <w:rPr>
          <w:rFonts w:cstheme="minorHAnsi"/>
          <w:b/>
          <w:bCs/>
          <w:lang w:val="en-US"/>
        </w:rPr>
        <w:t xml:space="preserve"> 15</w:t>
      </w:r>
      <w:r w:rsidRPr="00241E4C">
        <w:rPr>
          <w:rFonts w:cstheme="minorHAnsi"/>
          <w:b/>
          <w:bCs/>
          <w:lang w:val="en-US"/>
        </w:rPr>
        <w:t>.</w:t>
      </w:r>
      <w:r w:rsidRPr="00241E4C">
        <w:rPr>
          <w:rFonts w:cstheme="minorHAnsi"/>
          <w:lang w:val="en-US"/>
        </w:rPr>
        <w:t xml:space="preserve"> Cumulative mortality (%) of </w:t>
      </w:r>
      <w:r w:rsidRPr="00241E4C">
        <w:rPr>
          <w:rFonts w:cstheme="minorHAnsi"/>
          <w:i/>
          <w:iCs/>
          <w:lang w:val="en-US"/>
        </w:rPr>
        <w:t>Oulema melanopus</w:t>
      </w:r>
      <w:r w:rsidRPr="00241E4C">
        <w:rPr>
          <w:rFonts w:cstheme="minorHAnsi"/>
          <w:lang w:val="en-US"/>
        </w:rPr>
        <w:t xml:space="preserve"> larvae treated with different concentrations of </w:t>
      </w:r>
      <w:r w:rsidRPr="00241E4C">
        <w:rPr>
          <w:rFonts w:cstheme="minorHAnsi"/>
          <w:i/>
          <w:iCs/>
          <w:lang w:val="en-US"/>
        </w:rPr>
        <w:t>B. bassiana</w:t>
      </w:r>
      <w:r w:rsidRPr="00241E4C">
        <w:rPr>
          <w:rFonts w:cstheme="minorHAnsi"/>
          <w:lang w:val="en-US"/>
        </w:rPr>
        <w:t xml:space="preserve"> (2.3 × 10² – 2.3 × 10⁷ conidia/ml).</w:t>
      </w:r>
    </w:p>
    <w:p w:rsidR="00A85EB0" w:rsidRPr="00A85EB0" w:rsidRDefault="00A85EB0" w:rsidP="00A85EB0">
      <w:pPr>
        <w:keepNext/>
        <w:keepLines/>
        <w:spacing w:before="40"/>
        <w:ind w:firstLine="0"/>
        <w:outlineLvl w:val="2"/>
        <w:rPr>
          <w:rFonts w:ascii="Times New Roman" w:hAnsi="Times New Roman"/>
          <w:b/>
          <w:sz w:val="24"/>
          <w:szCs w:val="24"/>
          <w:lang w:eastAsia="bg-BG"/>
        </w:rPr>
      </w:pPr>
    </w:p>
    <w:p w:rsidR="006A373B" w:rsidRPr="006A373B" w:rsidRDefault="006A373B" w:rsidP="006A373B">
      <w:pPr>
        <w:spacing w:before="100" w:beforeAutospacing="1" w:after="100" w:afterAutospacing="1" w:line="240" w:lineRule="auto"/>
        <w:ind w:firstLine="0"/>
        <w:jc w:val="left"/>
        <w:outlineLvl w:val="2"/>
        <w:rPr>
          <w:rFonts w:ascii="Times New Roman" w:hAnsi="Times New Roman"/>
          <w:b/>
          <w:bCs/>
          <w:sz w:val="24"/>
          <w:szCs w:val="24"/>
          <w:lang w:val="en-US"/>
        </w:rPr>
      </w:pPr>
      <w:r w:rsidRPr="006A373B">
        <w:rPr>
          <w:rFonts w:ascii="Times New Roman" w:hAnsi="Times New Roman"/>
          <w:b/>
          <w:bCs/>
          <w:sz w:val="24"/>
          <w:szCs w:val="24"/>
          <w:lang w:val="en-US"/>
        </w:rPr>
        <w:t xml:space="preserve">4.3.2. Discussion of the results for </w:t>
      </w:r>
      <w:r w:rsidRPr="006A373B">
        <w:rPr>
          <w:rFonts w:ascii="Times New Roman" w:hAnsi="Times New Roman"/>
          <w:b/>
          <w:bCs/>
          <w:i/>
          <w:iCs/>
          <w:sz w:val="24"/>
          <w:szCs w:val="24"/>
          <w:lang w:val="en-US"/>
        </w:rPr>
        <w:t>Oulema melanopus</w:t>
      </w:r>
    </w:p>
    <w:p w:rsidR="006A373B" w:rsidRPr="006A373B" w:rsidRDefault="006A373B" w:rsidP="00BF6A3C">
      <w:pPr>
        <w:spacing w:before="100" w:beforeAutospacing="1" w:after="100" w:afterAutospacing="1"/>
        <w:ind w:firstLine="567"/>
        <w:rPr>
          <w:rFonts w:ascii="Times New Roman" w:hAnsi="Times New Roman"/>
          <w:sz w:val="24"/>
          <w:szCs w:val="24"/>
          <w:lang w:val="en-US"/>
        </w:rPr>
      </w:pPr>
      <w:r w:rsidRPr="006A373B">
        <w:rPr>
          <w:rFonts w:ascii="Times New Roman" w:hAnsi="Times New Roman"/>
          <w:sz w:val="24"/>
          <w:szCs w:val="24"/>
          <w:lang w:val="en-US"/>
        </w:rPr>
        <w:t xml:space="preserve">This is the first study describing the susceptibility of different developmental stages of this species to different concentrations of the commercial strain </w:t>
      </w:r>
      <w:r w:rsidRPr="006A373B">
        <w:rPr>
          <w:rFonts w:ascii="Times New Roman" w:hAnsi="Times New Roman"/>
          <w:i/>
          <w:iCs/>
          <w:sz w:val="24"/>
          <w:szCs w:val="24"/>
          <w:lang w:val="en-US"/>
        </w:rPr>
        <w:t>B. bassiana</w:t>
      </w:r>
      <w:r w:rsidRPr="006A373B">
        <w:rPr>
          <w:rFonts w:ascii="Times New Roman" w:hAnsi="Times New Roman"/>
          <w:sz w:val="24"/>
          <w:szCs w:val="24"/>
          <w:lang w:val="en-US"/>
        </w:rPr>
        <w:t xml:space="preserve"> ATCC 74040. The results of the present study demonstrate that </w:t>
      </w:r>
      <w:r w:rsidRPr="006A373B">
        <w:rPr>
          <w:rFonts w:ascii="Times New Roman" w:hAnsi="Times New Roman"/>
          <w:i/>
          <w:iCs/>
          <w:sz w:val="24"/>
          <w:szCs w:val="24"/>
          <w:lang w:val="en-US"/>
        </w:rPr>
        <w:t>O. melanopus</w:t>
      </w:r>
      <w:r w:rsidRPr="006A373B">
        <w:rPr>
          <w:rFonts w:ascii="Times New Roman" w:hAnsi="Times New Roman"/>
          <w:sz w:val="24"/>
          <w:szCs w:val="24"/>
          <w:lang w:val="en-US"/>
        </w:rPr>
        <w:t xml:space="preserve"> larvae are highly susceptible to Naturalis, with cumulative mortality exceeding 96% over a wide range of concentrations (2.3 × 10² – 2.3 × 10</w:t>
      </w:r>
      <w:r w:rsidRPr="006A373B">
        <w:rPr>
          <w:rFonts w:ascii="Cambria Math" w:hAnsi="Cambria Math" w:cs="Cambria Math"/>
          <w:sz w:val="24"/>
          <w:szCs w:val="24"/>
          <w:lang w:val="en-US"/>
        </w:rPr>
        <w:t>⁷</w:t>
      </w:r>
      <w:r w:rsidRPr="006A373B">
        <w:rPr>
          <w:rFonts w:ascii="Times New Roman" w:hAnsi="Times New Roman"/>
          <w:sz w:val="24"/>
          <w:szCs w:val="24"/>
          <w:lang w:val="en-US"/>
        </w:rPr>
        <w:t xml:space="preserve"> conidia/ml). High mortality of adult </w:t>
      </w:r>
      <w:r w:rsidRPr="006A373B">
        <w:rPr>
          <w:rFonts w:ascii="Times New Roman" w:hAnsi="Times New Roman"/>
          <w:i/>
          <w:iCs/>
          <w:sz w:val="24"/>
          <w:szCs w:val="24"/>
          <w:lang w:val="en-US"/>
        </w:rPr>
        <w:t>O. melanopus</w:t>
      </w:r>
      <w:r w:rsidRPr="006A373B">
        <w:rPr>
          <w:rFonts w:ascii="Times New Roman" w:hAnsi="Times New Roman"/>
          <w:sz w:val="24"/>
          <w:szCs w:val="24"/>
          <w:lang w:val="en-US"/>
        </w:rPr>
        <w:t xml:space="preserve"> individuals was observed only at the highest concentrations of the product.</w:t>
      </w:r>
      <w:r>
        <w:rPr>
          <w:rFonts w:ascii="Times New Roman" w:hAnsi="Times New Roman"/>
          <w:sz w:val="24"/>
          <w:szCs w:val="24"/>
        </w:rPr>
        <w:t xml:space="preserve"> </w:t>
      </w:r>
      <w:r w:rsidRPr="006A373B">
        <w:rPr>
          <w:rFonts w:ascii="Times New Roman" w:hAnsi="Times New Roman"/>
          <w:sz w:val="24"/>
          <w:szCs w:val="24"/>
          <w:lang w:val="en-US"/>
        </w:rPr>
        <w:t xml:space="preserve">In summary, the comparative results clearly demonstrate that the efficacy of Naturalis is strongly host-dependent, with a distinct gradient of susceptibility among adult individuals of the studied coleopteran species under laboratory conditions: </w:t>
      </w:r>
      <w:r w:rsidRPr="006A373B">
        <w:rPr>
          <w:rFonts w:ascii="Times New Roman" w:hAnsi="Times New Roman"/>
          <w:i/>
          <w:iCs/>
          <w:sz w:val="24"/>
          <w:szCs w:val="24"/>
          <w:lang w:val="en-US"/>
        </w:rPr>
        <w:t>T. dilaticollis</w:t>
      </w:r>
      <w:r w:rsidRPr="006A373B">
        <w:rPr>
          <w:rFonts w:ascii="Times New Roman" w:hAnsi="Times New Roman"/>
          <w:sz w:val="24"/>
          <w:szCs w:val="24"/>
          <w:lang w:val="en-US"/>
        </w:rPr>
        <w:t xml:space="preserve"> &gt; </w:t>
      </w:r>
      <w:r w:rsidRPr="006A373B">
        <w:rPr>
          <w:rFonts w:ascii="Times New Roman" w:hAnsi="Times New Roman"/>
          <w:i/>
          <w:iCs/>
          <w:sz w:val="24"/>
          <w:szCs w:val="24"/>
          <w:lang w:val="en-US"/>
        </w:rPr>
        <w:t>D. v. virgifera</w:t>
      </w:r>
      <w:r w:rsidRPr="006A373B">
        <w:rPr>
          <w:rFonts w:ascii="Times New Roman" w:hAnsi="Times New Roman"/>
          <w:sz w:val="24"/>
          <w:szCs w:val="24"/>
          <w:lang w:val="en-US"/>
        </w:rPr>
        <w:t xml:space="preserve"> &gt; </w:t>
      </w:r>
      <w:r w:rsidRPr="006A373B">
        <w:rPr>
          <w:rFonts w:ascii="Times New Roman" w:hAnsi="Times New Roman"/>
          <w:i/>
          <w:iCs/>
          <w:sz w:val="24"/>
          <w:szCs w:val="24"/>
          <w:lang w:val="en-US"/>
        </w:rPr>
        <w:t>O. melanopus</w:t>
      </w:r>
      <w:r w:rsidRPr="006A373B">
        <w:rPr>
          <w:rFonts w:ascii="Times New Roman" w:hAnsi="Times New Roman"/>
          <w:sz w:val="24"/>
          <w:szCs w:val="24"/>
          <w:lang w:val="en-US"/>
        </w:rPr>
        <w:t xml:space="preserve"> (Toshova et al., 2021; Velchev et al., 2023). This finding highlights that laboratory-determined virulence does not necessarily ensure equally effective control under field conditions among different target species.</w:t>
      </w:r>
    </w:p>
    <w:p w:rsidR="00A85EB0" w:rsidRPr="00A85EB0" w:rsidRDefault="00A85EB0" w:rsidP="00A85EB0">
      <w:pPr>
        <w:ind w:left="709" w:hanging="709"/>
        <w:jc w:val="center"/>
        <w:rPr>
          <w:rFonts w:ascii="Times New Roman" w:hAnsi="Times New Roman"/>
          <w:b/>
          <w:sz w:val="28"/>
          <w:szCs w:val="28"/>
          <w:lang w:eastAsia="bg-BG"/>
        </w:rPr>
      </w:pPr>
    </w:p>
    <w:p w:rsidR="009D0611" w:rsidRDefault="009D0611" w:rsidP="006A373B">
      <w:pPr>
        <w:spacing w:before="100" w:beforeAutospacing="1" w:after="100" w:afterAutospacing="1" w:line="240" w:lineRule="auto"/>
        <w:ind w:firstLine="0"/>
        <w:jc w:val="center"/>
        <w:outlineLvl w:val="2"/>
        <w:rPr>
          <w:rFonts w:ascii="Times New Roman" w:hAnsi="Times New Roman"/>
          <w:b/>
          <w:bCs/>
          <w:sz w:val="32"/>
          <w:szCs w:val="32"/>
          <w:lang w:val="en-US"/>
        </w:rPr>
      </w:pPr>
    </w:p>
    <w:p w:rsidR="009D0611" w:rsidRDefault="009D0611" w:rsidP="006A373B">
      <w:pPr>
        <w:spacing w:before="100" w:beforeAutospacing="1" w:after="100" w:afterAutospacing="1" w:line="240" w:lineRule="auto"/>
        <w:ind w:firstLine="0"/>
        <w:jc w:val="center"/>
        <w:outlineLvl w:val="2"/>
        <w:rPr>
          <w:rFonts w:ascii="Times New Roman" w:hAnsi="Times New Roman"/>
          <w:b/>
          <w:bCs/>
          <w:sz w:val="32"/>
          <w:szCs w:val="32"/>
          <w:lang w:val="en-US"/>
        </w:rPr>
      </w:pPr>
    </w:p>
    <w:p w:rsidR="006A373B" w:rsidRPr="003950A4" w:rsidRDefault="006A373B" w:rsidP="006A373B">
      <w:pPr>
        <w:spacing w:before="100" w:beforeAutospacing="1" w:after="100" w:afterAutospacing="1" w:line="240" w:lineRule="auto"/>
        <w:ind w:firstLine="0"/>
        <w:jc w:val="center"/>
        <w:outlineLvl w:val="2"/>
        <w:rPr>
          <w:rFonts w:ascii="Times New Roman" w:hAnsi="Times New Roman"/>
          <w:b/>
          <w:bCs/>
          <w:caps/>
          <w:sz w:val="32"/>
          <w:szCs w:val="32"/>
          <w:lang w:val="en-US"/>
        </w:rPr>
      </w:pPr>
      <w:r w:rsidRPr="003950A4">
        <w:rPr>
          <w:rFonts w:ascii="Times New Roman" w:hAnsi="Times New Roman"/>
          <w:b/>
          <w:bCs/>
          <w:caps/>
          <w:sz w:val="32"/>
          <w:szCs w:val="32"/>
          <w:lang w:val="en-US"/>
        </w:rPr>
        <w:lastRenderedPageBreak/>
        <w:t>Conclusions</w:t>
      </w:r>
    </w:p>
    <w:p w:rsidR="006A373B" w:rsidRPr="006A373B" w:rsidRDefault="006A373B" w:rsidP="00BF6A3C">
      <w:pPr>
        <w:ind w:firstLine="0"/>
        <w:rPr>
          <w:rFonts w:ascii="Times New Roman" w:hAnsi="Times New Roman"/>
          <w:sz w:val="24"/>
          <w:szCs w:val="24"/>
          <w:lang w:val="en-US"/>
        </w:rPr>
      </w:pPr>
      <w:r w:rsidRPr="006A373B">
        <w:rPr>
          <w:rFonts w:ascii="Times New Roman" w:hAnsi="Times New Roman"/>
          <w:sz w:val="24"/>
          <w:szCs w:val="24"/>
          <w:lang w:val="en-US"/>
        </w:rPr>
        <w:t>The present study provides new data on the ecology, monitoring of seasonal activity of adults, and the potential of biological control methods against three important maize pests in Bulgaria: the grey corn weevil (</w:t>
      </w:r>
      <w:r w:rsidRPr="006A373B">
        <w:rPr>
          <w:rFonts w:ascii="Times New Roman" w:hAnsi="Times New Roman"/>
          <w:i/>
          <w:iCs/>
          <w:sz w:val="24"/>
          <w:szCs w:val="24"/>
          <w:lang w:val="en-US"/>
        </w:rPr>
        <w:t>Tanymecus dilaticollis</w:t>
      </w:r>
      <w:r w:rsidRPr="006A373B">
        <w:rPr>
          <w:rFonts w:ascii="Times New Roman" w:hAnsi="Times New Roman"/>
          <w:sz w:val="24"/>
          <w:szCs w:val="24"/>
          <w:lang w:val="en-US"/>
        </w:rPr>
        <w:t>), the western corn rootworm (</w:t>
      </w:r>
      <w:r w:rsidRPr="006A373B">
        <w:rPr>
          <w:rFonts w:ascii="Times New Roman" w:hAnsi="Times New Roman"/>
          <w:i/>
          <w:iCs/>
          <w:sz w:val="24"/>
          <w:szCs w:val="24"/>
          <w:lang w:val="en-US"/>
        </w:rPr>
        <w:t>Diabrotica virgifera virgifera</w:t>
      </w:r>
      <w:r w:rsidRPr="006A373B">
        <w:rPr>
          <w:rFonts w:ascii="Times New Roman" w:hAnsi="Times New Roman"/>
          <w:sz w:val="24"/>
          <w:szCs w:val="24"/>
          <w:lang w:val="en-US"/>
        </w:rPr>
        <w:t>), and the cereal leaf beetle (</w:t>
      </w:r>
      <w:r w:rsidRPr="006A373B">
        <w:rPr>
          <w:rFonts w:ascii="Times New Roman" w:hAnsi="Times New Roman"/>
          <w:i/>
          <w:iCs/>
          <w:sz w:val="24"/>
          <w:szCs w:val="24"/>
          <w:lang w:val="en-US"/>
        </w:rPr>
        <w:t>Oulema melanopus</w:t>
      </w:r>
      <w:r w:rsidRPr="006A373B">
        <w:rPr>
          <w:rFonts w:ascii="Times New Roman" w:hAnsi="Times New Roman"/>
          <w:sz w:val="24"/>
          <w:szCs w:val="24"/>
          <w:lang w:val="en-US"/>
        </w:rPr>
        <w:t>).</w:t>
      </w:r>
    </w:p>
    <w:p w:rsidR="006A373B" w:rsidRPr="006A373B" w:rsidRDefault="006A373B" w:rsidP="00BF6A3C">
      <w:pPr>
        <w:ind w:firstLine="0"/>
        <w:rPr>
          <w:rFonts w:ascii="Times New Roman" w:hAnsi="Times New Roman"/>
          <w:sz w:val="24"/>
          <w:szCs w:val="24"/>
          <w:lang w:val="en-US"/>
        </w:rPr>
      </w:pPr>
      <w:r w:rsidRPr="006A373B">
        <w:rPr>
          <w:rFonts w:ascii="Times New Roman" w:hAnsi="Times New Roman"/>
          <w:sz w:val="24"/>
          <w:szCs w:val="24"/>
          <w:lang w:val="en-US"/>
        </w:rPr>
        <w:t>The results support the proposed research hypotheses.</w:t>
      </w:r>
    </w:p>
    <w:p w:rsidR="00650313" w:rsidRDefault="00650313" w:rsidP="00650313">
      <w:pPr>
        <w:ind w:firstLine="0"/>
        <w:outlineLvl w:val="2"/>
        <w:rPr>
          <w:rFonts w:ascii="Times New Roman" w:hAnsi="Times New Roman"/>
          <w:b/>
          <w:bCs/>
          <w:sz w:val="24"/>
          <w:szCs w:val="24"/>
        </w:rPr>
      </w:pPr>
    </w:p>
    <w:p w:rsidR="006A373B" w:rsidRPr="006A373B" w:rsidRDefault="006A373B" w:rsidP="00BF6A3C">
      <w:pPr>
        <w:ind w:firstLine="0"/>
        <w:outlineLvl w:val="2"/>
        <w:rPr>
          <w:rFonts w:ascii="Times New Roman" w:hAnsi="Times New Roman"/>
          <w:b/>
          <w:bCs/>
          <w:sz w:val="24"/>
          <w:szCs w:val="24"/>
          <w:lang w:val="en-US"/>
        </w:rPr>
      </w:pPr>
      <w:r w:rsidRPr="006A373B">
        <w:rPr>
          <w:rFonts w:ascii="Times New Roman" w:hAnsi="Times New Roman"/>
          <w:b/>
          <w:bCs/>
          <w:i/>
          <w:iCs/>
          <w:sz w:val="24"/>
          <w:szCs w:val="24"/>
          <w:lang w:val="en-US"/>
        </w:rPr>
        <w:t>Tanymecus dilaticollis</w:t>
      </w:r>
      <w:r w:rsidRPr="006A373B">
        <w:rPr>
          <w:rFonts w:ascii="Times New Roman" w:hAnsi="Times New Roman"/>
          <w:b/>
          <w:bCs/>
          <w:sz w:val="24"/>
          <w:szCs w:val="24"/>
          <w:lang w:val="en-US"/>
        </w:rPr>
        <w:t>:</w:t>
      </w:r>
    </w:p>
    <w:p w:rsidR="006A373B" w:rsidRPr="006A373B" w:rsidRDefault="006A373B" w:rsidP="00BF6A3C">
      <w:pPr>
        <w:numPr>
          <w:ilvl w:val="0"/>
          <w:numId w:val="25"/>
        </w:numPr>
        <w:rPr>
          <w:rFonts w:ascii="Times New Roman" w:hAnsi="Times New Roman"/>
          <w:sz w:val="24"/>
          <w:szCs w:val="24"/>
          <w:lang w:val="en-US"/>
        </w:rPr>
      </w:pPr>
      <w:r w:rsidRPr="006A373B">
        <w:rPr>
          <w:rFonts w:ascii="Times New Roman" w:hAnsi="Times New Roman"/>
          <w:sz w:val="24"/>
          <w:szCs w:val="24"/>
          <w:lang w:val="en-US"/>
        </w:rPr>
        <w:t xml:space="preserve">Field trials evaluating the activity of synthetic plant-derived compounds using traps identified two attractants for both female and male adults of the grey corn weevil: </w:t>
      </w:r>
      <w:r w:rsidRPr="0072164D">
        <w:rPr>
          <w:rFonts w:ascii="Times New Roman" w:hAnsi="Times New Roman"/>
          <w:iCs/>
          <w:sz w:val="24"/>
          <w:szCs w:val="24"/>
          <w:lang w:val="en-US"/>
        </w:rPr>
        <w:t>(</w:t>
      </w:r>
      <w:r w:rsidRPr="00BF56A4">
        <w:rPr>
          <w:rFonts w:ascii="Times New Roman" w:hAnsi="Times New Roman"/>
          <w:i/>
          <w:iCs/>
          <w:sz w:val="24"/>
          <w:szCs w:val="24"/>
          <w:lang w:val="en-US"/>
        </w:rPr>
        <w:t>E</w:t>
      </w:r>
      <w:r w:rsidRPr="0072164D">
        <w:rPr>
          <w:rFonts w:ascii="Times New Roman" w:hAnsi="Times New Roman"/>
          <w:iCs/>
          <w:sz w:val="24"/>
          <w:szCs w:val="24"/>
          <w:lang w:val="en-US"/>
        </w:rPr>
        <w:t>)-2-hexen-1-ol</w:t>
      </w:r>
      <w:r w:rsidRPr="006A373B">
        <w:rPr>
          <w:rFonts w:ascii="Times New Roman" w:hAnsi="Times New Roman"/>
          <w:sz w:val="24"/>
          <w:szCs w:val="24"/>
          <w:lang w:val="en-US"/>
        </w:rPr>
        <w:t xml:space="preserve"> (E2-6OH) and</w:t>
      </w:r>
      <w:r w:rsidRPr="006C3ABB">
        <w:rPr>
          <w:rFonts w:ascii="Times New Roman" w:hAnsi="Times New Roman"/>
          <w:sz w:val="24"/>
          <w:szCs w:val="24"/>
          <w:lang w:val="en-US"/>
        </w:rPr>
        <w:t xml:space="preserve"> </w:t>
      </w:r>
      <w:r w:rsidRPr="006C3ABB">
        <w:rPr>
          <w:rFonts w:ascii="Times New Roman" w:hAnsi="Times New Roman"/>
          <w:iCs/>
          <w:sz w:val="24"/>
          <w:szCs w:val="24"/>
          <w:lang w:val="en-US"/>
        </w:rPr>
        <w:t>(</w:t>
      </w:r>
      <w:r w:rsidRPr="00BF56A4">
        <w:rPr>
          <w:rFonts w:ascii="Times New Roman" w:hAnsi="Times New Roman"/>
          <w:i/>
          <w:iCs/>
          <w:sz w:val="24"/>
          <w:szCs w:val="24"/>
          <w:lang w:val="en-US"/>
        </w:rPr>
        <w:t>Z</w:t>
      </w:r>
      <w:r w:rsidRPr="006C3ABB">
        <w:rPr>
          <w:rFonts w:ascii="Times New Roman" w:hAnsi="Times New Roman"/>
          <w:iCs/>
          <w:sz w:val="24"/>
          <w:szCs w:val="24"/>
          <w:lang w:val="en-US"/>
        </w:rPr>
        <w:t>)-3-hexen-1-ol</w:t>
      </w:r>
      <w:r w:rsidRPr="006A373B">
        <w:rPr>
          <w:rFonts w:ascii="Times New Roman" w:hAnsi="Times New Roman"/>
          <w:sz w:val="24"/>
          <w:szCs w:val="24"/>
          <w:lang w:val="en-US"/>
        </w:rPr>
        <w:t xml:space="preserve"> (Z3-6OH), whereas </w:t>
      </w:r>
      <w:r w:rsidRPr="006C3ABB">
        <w:rPr>
          <w:rFonts w:ascii="Times New Roman" w:hAnsi="Times New Roman"/>
          <w:iCs/>
          <w:sz w:val="24"/>
          <w:szCs w:val="24"/>
          <w:lang w:val="en-US"/>
        </w:rPr>
        <w:t>(</w:t>
      </w:r>
      <w:r w:rsidRPr="00BF56A4">
        <w:rPr>
          <w:rFonts w:ascii="Times New Roman" w:hAnsi="Times New Roman"/>
          <w:i/>
          <w:iCs/>
          <w:sz w:val="24"/>
          <w:szCs w:val="24"/>
          <w:lang w:val="en-US"/>
        </w:rPr>
        <w:t>Z</w:t>
      </w:r>
      <w:r w:rsidRPr="006C3ABB">
        <w:rPr>
          <w:rFonts w:ascii="Times New Roman" w:hAnsi="Times New Roman"/>
          <w:iCs/>
          <w:sz w:val="24"/>
          <w:szCs w:val="24"/>
          <w:lang w:val="en-US"/>
        </w:rPr>
        <w:t>)-3-hexenyl butyrate</w:t>
      </w:r>
      <w:r w:rsidRPr="006C3ABB">
        <w:rPr>
          <w:rFonts w:ascii="Times New Roman" w:hAnsi="Times New Roman"/>
          <w:sz w:val="24"/>
          <w:szCs w:val="24"/>
          <w:lang w:val="en-US"/>
        </w:rPr>
        <w:t xml:space="preserve"> </w:t>
      </w:r>
      <w:r w:rsidRPr="006A373B">
        <w:rPr>
          <w:rFonts w:ascii="Times New Roman" w:hAnsi="Times New Roman"/>
          <w:sz w:val="24"/>
          <w:szCs w:val="24"/>
          <w:lang w:val="en-US"/>
        </w:rPr>
        <w:t>exhibited a repellent effect.</w:t>
      </w:r>
    </w:p>
    <w:p w:rsidR="006A373B" w:rsidRPr="006A373B" w:rsidRDefault="006A373B" w:rsidP="00BF6A3C">
      <w:pPr>
        <w:numPr>
          <w:ilvl w:val="0"/>
          <w:numId w:val="25"/>
        </w:numPr>
        <w:rPr>
          <w:rFonts w:ascii="Times New Roman" w:hAnsi="Times New Roman"/>
          <w:sz w:val="24"/>
          <w:szCs w:val="24"/>
          <w:lang w:val="en-US"/>
        </w:rPr>
      </w:pPr>
      <w:r w:rsidRPr="006A373B">
        <w:rPr>
          <w:rFonts w:ascii="Times New Roman" w:hAnsi="Times New Roman"/>
          <w:sz w:val="24"/>
          <w:szCs w:val="24"/>
          <w:lang w:val="en-US"/>
        </w:rPr>
        <w:t>The binary blend of E2-6OH and Z3-6OH at a 1:1 ratio significantly increased adult captures of both sexes compared with their individual application or the control treatments.</w:t>
      </w:r>
    </w:p>
    <w:p w:rsidR="006A373B" w:rsidRPr="006A373B" w:rsidRDefault="006A373B" w:rsidP="00BF6A3C">
      <w:pPr>
        <w:numPr>
          <w:ilvl w:val="0"/>
          <w:numId w:val="25"/>
        </w:numPr>
        <w:rPr>
          <w:rFonts w:ascii="Times New Roman" w:hAnsi="Times New Roman"/>
          <w:sz w:val="24"/>
          <w:szCs w:val="24"/>
          <w:lang w:val="en-US"/>
        </w:rPr>
      </w:pPr>
      <w:r w:rsidRPr="006A373B">
        <w:rPr>
          <w:rFonts w:ascii="Times New Roman" w:hAnsi="Times New Roman"/>
          <w:sz w:val="24"/>
          <w:szCs w:val="24"/>
          <w:lang w:val="en-US"/>
        </w:rPr>
        <w:t>When combined with identical plant-derived lures, TAL sticky traps (CSALOMON®) showed the highest efficiency and outperformed other trap types (Yatlor funnel, Cone, and Pitfall traps). Using traps equipped with synthetic plant lures, the seasonal activity of overwintered adults was shown to extend from early April to early July, with the highest relative abundance recorded during the early phenological stages of maize (from emergence to the 5–7 leaf stage).</w:t>
      </w:r>
    </w:p>
    <w:p w:rsidR="006A373B" w:rsidRPr="006A373B" w:rsidRDefault="006A373B" w:rsidP="00BF6A3C">
      <w:pPr>
        <w:numPr>
          <w:ilvl w:val="0"/>
          <w:numId w:val="25"/>
        </w:numPr>
        <w:rPr>
          <w:rFonts w:ascii="Times New Roman" w:hAnsi="Times New Roman"/>
          <w:sz w:val="24"/>
          <w:szCs w:val="24"/>
          <w:lang w:val="en-US"/>
        </w:rPr>
      </w:pPr>
      <w:r w:rsidRPr="006A373B">
        <w:rPr>
          <w:rFonts w:ascii="Times New Roman" w:hAnsi="Times New Roman"/>
          <w:sz w:val="24"/>
          <w:szCs w:val="24"/>
          <w:lang w:val="en-US"/>
        </w:rPr>
        <w:t>In field conditions, TAL sticky traps demonstrated intraspecific attraction between male and female individuals.</w:t>
      </w:r>
    </w:p>
    <w:p w:rsidR="006A373B" w:rsidRPr="006A373B" w:rsidRDefault="006A373B" w:rsidP="00BF6A3C">
      <w:pPr>
        <w:numPr>
          <w:ilvl w:val="0"/>
          <w:numId w:val="25"/>
        </w:numPr>
        <w:rPr>
          <w:rFonts w:ascii="Times New Roman" w:hAnsi="Times New Roman"/>
          <w:sz w:val="24"/>
          <w:szCs w:val="24"/>
          <w:lang w:val="en-US"/>
        </w:rPr>
      </w:pPr>
      <w:r w:rsidRPr="006A373B">
        <w:rPr>
          <w:rFonts w:ascii="Times New Roman" w:hAnsi="Times New Roman"/>
          <w:sz w:val="24"/>
          <w:szCs w:val="24"/>
          <w:lang w:val="en-US"/>
        </w:rPr>
        <w:t>In field trials, the bioinsecticide Naturalis (</w:t>
      </w:r>
      <w:r w:rsidRPr="006A373B">
        <w:rPr>
          <w:rFonts w:ascii="Times New Roman" w:hAnsi="Times New Roman"/>
          <w:i/>
          <w:iCs/>
          <w:sz w:val="24"/>
          <w:szCs w:val="24"/>
          <w:lang w:val="en-US"/>
        </w:rPr>
        <w:t>Beauveria bassiana</w:t>
      </w:r>
      <w:r w:rsidRPr="006A373B">
        <w:rPr>
          <w:rFonts w:ascii="Times New Roman" w:hAnsi="Times New Roman"/>
          <w:sz w:val="24"/>
          <w:szCs w:val="24"/>
          <w:lang w:val="en-US"/>
        </w:rPr>
        <w:t xml:space="preserve"> strain ATCC 74040) achieved satisfactory efficacy (up to approximately 52% after the second application) when applied at higher doses and after repeated treatments.</w:t>
      </w:r>
    </w:p>
    <w:p w:rsidR="006A373B" w:rsidRPr="006A373B" w:rsidRDefault="006A373B" w:rsidP="00BF6A3C">
      <w:pPr>
        <w:numPr>
          <w:ilvl w:val="0"/>
          <w:numId w:val="25"/>
        </w:numPr>
        <w:rPr>
          <w:rFonts w:ascii="Times New Roman" w:hAnsi="Times New Roman"/>
          <w:sz w:val="24"/>
          <w:szCs w:val="24"/>
          <w:lang w:val="en-US"/>
        </w:rPr>
      </w:pPr>
      <w:r w:rsidRPr="006A373B">
        <w:rPr>
          <w:rFonts w:ascii="Times New Roman" w:hAnsi="Times New Roman"/>
          <w:sz w:val="24"/>
          <w:szCs w:val="24"/>
          <w:lang w:val="en-US"/>
        </w:rPr>
        <w:t xml:space="preserve">Treatments of maize areas (open-field plots and cage experiments) with Nemastar® (a commercial product containing entomopathogenic nematodes of </w:t>
      </w:r>
      <w:r w:rsidRPr="006A373B">
        <w:rPr>
          <w:rFonts w:ascii="Times New Roman" w:hAnsi="Times New Roman"/>
          <w:i/>
          <w:iCs/>
          <w:sz w:val="24"/>
          <w:szCs w:val="24"/>
          <w:lang w:val="en-US"/>
        </w:rPr>
        <w:t>Steinernema carpocapsae</w:t>
      </w:r>
      <w:r w:rsidRPr="006A373B">
        <w:rPr>
          <w:rFonts w:ascii="Times New Roman" w:hAnsi="Times New Roman"/>
          <w:sz w:val="24"/>
          <w:szCs w:val="24"/>
          <w:lang w:val="en-US"/>
        </w:rPr>
        <w:t>) (e-nema GmbH) increased the number of dead weevils regardless of the type of seed treatment before sowing (biological or chemical). The results indicate a potential contribution to increased maize yield.</w:t>
      </w:r>
    </w:p>
    <w:p w:rsidR="006A373B" w:rsidRPr="006A373B" w:rsidRDefault="006A373B" w:rsidP="00BF6A3C">
      <w:pPr>
        <w:numPr>
          <w:ilvl w:val="0"/>
          <w:numId w:val="25"/>
        </w:numPr>
        <w:rPr>
          <w:rFonts w:ascii="Times New Roman" w:hAnsi="Times New Roman"/>
          <w:sz w:val="24"/>
          <w:szCs w:val="24"/>
          <w:lang w:val="en-US"/>
        </w:rPr>
      </w:pPr>
      <w:r w:rsidRPr="006A373B">
        <w:rPr>
          <w:rFonts w:ascii="Times New Roman" w:hAnsi="Times New Roman"/>
          <w:sz w:val="24"/>
          <w:szCs w:val="24"/>
          <w:lang w:val="en-US"/>
        </w:rPr>
        <w:lastRenderedPageBreak/>
        <w:t>Essential oil (EO) from Greek oregano (</w:t>
      </w:r>
      <w:r w:rsidRPr="006A373B">
        <w:rPr>
          <w:rFonts w:ascii="Times New Roman" w:hAnsi="Times New Roman"/>
          <w:i/>
          <w:iCs/>
          <w:sz w:val="24"/>
          <w:szCs w:val="24"/>
          <w:lang w:val="en-US"/>
        </w:rPr>
        <w:t>Origanum vulgare</w:t>
      </w:r>
      <w:r w:rsidRPr="006A373B">
        <w:rPr>
          <w:rFonts w:ascii="Times New Roman" w:hAnsi="Times New Roman"/>
          <w:sz w:val="24"/>
          <w:szCs w:val="24"/>
          <w:lang w:val="en-US"/>
        </w:rPr>
        <w:t xml:space="preserve"> subsp. </w:t>
      </w:r>
      <w:r w:rsidRPr="006A373B">
        <w:rPr>
          <w:rFonts w:ascii="Times New Roman" w:hAnsi="Times New Roman"/>
          <w:i/>
          <w:iCs/>
          <w:sz w:val="24"/>
          <w:szCs w:val="24"/>
          <w:lang w:val="en-US"/>
        </w:rPr>
        <w:t>hirtum</w:t>
      </w:r>
      <w:r w:rsidRPr="006A373B">
        <w:rPr>
          <w:rFonts w:ascii="Times New Roman" w:hAnsi="Times New Roman"/>
          <w:sz w:val="24"/>
          <w:szCs w:val="24"/>
          <w:lang w:val="en-US"/>
        </w:rPr>
        <w:t>) exhibited strong contact and probable fumigant activity under laboratory conditions at concentrations of 1–10 µl/ml (aqueous solutions containing 0.01% Tween emulsifier).</w:t>
      </w:r>
    </w:p>
    <w:p w:rsidR="006A373B" w:rsidRPr="006A373B" w:rsidRDefault="006A373B" w:rsidP="00BF6A3C">
      <w:pPr>
        <w:ind w:firstLine="0"/>
        <w:rPr>
          <w:rFonts w:ascii="Times New Roman" w:hAnsi="Times New Roman"/>
          <w:sz w:val="24"/>
          <w:szCs w:val="24"/>
          <w:lang w:val="en-US"/>
        </w:rPr>
      </w:pPr>
    </w:p>
    <w:p w:rsidR="006A373B" w:rsidRPr="006A373B" w:rsidRDefault="006A373B" w:rsidP="00BF6A3C">
      <w:pPr>
        <w:ind w:firstLine="0"/>
        <w:outlineLvl w:val="2"/>
        <w:rPr>
          <w:rFonts w:ascii="Times New Roman" w:hAnsi="Times New Roman"/>
          <w:b/>
          <w:bCs/>
          <w:sz w:val="24"/>
          <w:szCs w:val="24"/>
          <w:lang w:val="en-US"/>
        </w:rPr>
      </w:pPr>
      <w:r w:rsidRPr="006A373B">
        <w:rPr>
          <w:rFonts w:ascii="Times New Roman" w:hAnsi="Times New Roman"/>
          <w:b/>
          <w:bCs/>
          <w:i/>
          <w:iCs/>
          <w:sz w:val="24"/>
          <w:szCs w:val="24"/>
          <w:lang w:val="en-US"/>
        </w:rPr>
        <w:t>Diabrotica virgifera virgifera</w:t>
      </w:r>
      <w:r w:rsidRPr="006A373B">
        <w:rPr>
          <w:rFonts w:ascii="Times New Roman" w:hAnsi="Times New Roman"/>
          <w:b/>
          <w:bCs/>
          <w:sz w:val="24"/>
          <w:szCs w:val="24"/>
          <w:lang w:val="en-US"/>
        </w:rPr>
        <w:t>:</w:t>
      </w:r>
    </w:p>
    <w:p w:rsidR="006A373B" w:rsidRPr="006A373B" w:rsidRDefault="006A373B" w:rsidP="00BF6A3C">
      <w:pPr>
        <w:numPr>
          <w:ilvl w:val="0"/>
          <w:numId w:val="26"/>
        </w:numPr>
        <w:rPr>
          <w:rFonts w:ascii="Times New Roman" w:hAnsi="Times New Roman"/>
          <w:sz w:val="24"/>
          <w:szCs w:val="24"/>
          <w:lang w:val="en-US"/>
        </w:rPr>
      </w:pPr>
      <w:r w:rsidRPr="006A373B">
        <w:rPr>
          <w:rFonts w:ascii="Times New Roman" w:hAnsi="Times New Roman"/>
          <w:sz w:val="24"/>
          <w:szCs w:val="24"/>
          <w:lang w:val="en-US"/>
        </w:rPr>
        <w:t>High efficiency of KLP+ traps (CSALOMON®) equipped with a dual lure (synthetic sex pheromone and plant attractant) was demonstrated for attracting adults of the western corn rootworm and monitoring its seasonal activity in Bulgaria.</w:t>
      </w:r>
    </w:p>
    <w:p w:rsidR="006A373B" w:rsidRPr="006A373B" w:rsidRDefault="006A373B" w:rsidP="00BF6A3C">
      <w:pPr>
        <w:numPr>
          <w:ilvl w:val="0"/>
          <w:numId w:val="26"/>
        </w:numPr>
        <w:rPr>
          <w:rFonts w:ascii="Times New Roman" w:hAnsi="Times New Roman"/>
          <w:sz w:val="24"/>
          <w:szCs w:val="24"/>
          <w:lang w:val="en-US"/>
        </w:rPr>
      </w:pPr>
      <w:r w:rsidRPr="006A373B">
        <w:rPr>
          <w:rFonts w:ascii="Times New Roman" w:hAnsi="Times New Roman"/>
          <w:sz w:val="24"/>
          <w:szCs w:val="24"/>
          <w:lang w:val="en-US"/>
        </w:rPr>
        <w:t>The shade of yellow colour of KLP+ traps equipped with semiochemical lures did not influence beetle behaviour.</w:t>
      </w:r>
    </w:p>
    <w:p w:rsidR="006A373B" w:rsidRPr="006A373B" w:rsidRDefault="006A373B" w:rsidP="00BF6A3C">
      <w:pPr>
        <w:numPr>
          <w:ilvl w:val="0"/>
          <w:numId w:val="26"/>
        </w:numPr>
        <w:rPr>
          <w:rFonts w:ascii="Times New Roman" w:hAnsi="Times New Roman"/>
          <w:sz w:val="24"/>
          <w:szCs w:val="24"/>
          <w:lang w:val="en-US"/>
        </w:rPr>
      </w:pPr>
      <w:r w:rsidRPr="006A373B">
        <w:rPr>
          <w:rFonts w:ascii="Times New Roman" w:hAnsi="Times New Roman"/>
          <w:sz w:val="24"/>
          <w:szCs w:val="24"/>
          <w:lang w:val="en-US"/>
        </w:rPr>
        <w:t xml:space="preserve">The seasonal activity of </w:t>
      </w:r>
      <w:r w:rsidRPr="006A373B">
        <w:rPr>
          <w:rFonts w:ascii="Times New Roman" w:hAnsi="Times New Roman"/>
          <w:i/>
          <w:iCs/>
          <w:sz w:val="24"/>
          <w:szCs w:val="24"/>
          <w:lang w:val="en-US"/>
        </w:rPr>
        <w:t>D. v. virgifera</w:t>
      </w:r>
      <w:r w:rsidRPr="006A373B">
        <w:rPr>
          <w:rFonts w:ascii="Times New Roman" w:hAnsi="Times New Roman"/>
          <w:sz w:val="24"/>
          <w:szCs w:val="24"/>
          <w:lang w:val="en-US"/>
        </w:rPr>
        <w:t xml:space="preserve"> in the Kneja region extends from late June to early September. Under laboratory conditions, pure EO from Greek oregano demonstrated extremely high insecticidal activity and a rapid lethal effect against adults of the western corn rootworm, whereas emulsions in distilled water were effective only at the highest tested concentrations: 1 µl/ml (92% corrected mortality of experimental insects) and 10 µl/ml (100% corrected mortality of experimental insects).</w:t>
      </w:r>
    </w:p>
    <w:p w:rsidR="006A373B" w:rsidRPr="006A373B" w:rsidRDefault="006A373B" w:rsidP="00BF6A3C">
      <w:pPr>
        <w:numPr>
          <w:ilvl w:val="0"/>
          <w:numId w:val="26"/>
        </w:numPr>
        <w:rPr>
          <w:rFonts w:ascii="Times New Roman" w:hAnsi="Times New Roman"/>
          <w:sz w:val="24"/>
          <w:szCs w:val="24"/>
          <w:lang w:val="en-US"/>
        </w:rPr>
      </w:pPr>
      <w:r w:rsidRPr="006A373B">
        <w:rPr>
          <w:rFonts w:ascii="Times New Roman" w:hAnsi="Times New Roman"/>
          <w:sz w:val="24"/>
          <w:szCs w:val="24"/>
          <w:lang w:val="en-US"/>
        </w:rPr>
        <w:t xml:space="preserve">Laboratory studies demonstrated that the entomopathogenic fungus </w:t>
      </w:r>
      <w:r w:rsidRPr="006A373B">
        <w:rPr>
          <w:rFonts w:ascii="Times New Roman" w:hAnsi="Times New Roman"/>
          <w:i/>
          <w:iCs/>
          <w:sz w:val="24"/>
          <w:szCs w:val="24"/>
          <w:lang w:val="en-US"/>
        </w:rPr>
        <w:t>Metarhizium pemphigi</w:t>
      </w:r>
      <w:r w:rsidRPr="006A373B">
        <w:rPr>
          <w:rFonts w:ascii="Times New Roman" w:hAnsi="Times New Roman"/>
          <w:sz w:val="24"/>
          <w:szCs w:val="24"/>
          <w:lang w:val="en-US"/>
        </w:rPr>
        <w:t xml:space="preserve"> (strain AMEP28) is pathogenic to adult individuals under laboratory conditions, causing up to 73% mortality at the highest concentration after 10 days.</w:t>
      </w:r>
    </w:p>
    <w:p w:rsidR="006A373B" w:rsidRPr="006A373B" w:rsidRDefault="006A373B" w:rsidP="00BF6A3C">
      <w:pPr>
        <w:ind w:firstLine="0"/>
        <w:rPr>
          <w:rFonts w:ascii="Times New Roman" w:hAnsi="Times New Roman"/>
          <w:sz w:val="24"/>
          <w:szCs w:val="24"/>
          <w:lang w:val="en-US"/>
        </w:rPr>
      </w:pPr>
    </w:p>
    <w:p w:rsidR="006A373B" w:rsidRPr="006A373B" w:rsidRDefault="006A373B" w:rsidP="00BF6A3C">
      <w:pPr>
        <w:ind w:firstLine="0"/>
        <w:outlineLvl w:val="2"/>
        <w:rPr>
          <w:rFonts w:ascii="Times New Roman" w:hAnsi="Times New Roman"/>
          <w:b/>
          <w:bCs/>
          <w:sz w:val="24"/>
          <w:szCs w:val="24"/>
          <w:lang w:val="en-US"/>
        </w:rPr>
      </w:pPr>
      <w:r w:rsidRPr="006A373B">
        <w:rPr>
          <w:rFonts w:ascii="Times New Roman" w:hAnsi="Times New Roman"/>
          <w:b/>
          <w:bCs/>
          <w:i/>
          <w:iCs/>
          <w:sz w:val="24"/>
          <w:szCs w:val="24"/>
          <w:lang w:val="en-US"/>
        </w:rPr>
        <w:t>Oulema melanopus</w:t>
      </w:r>
      <w:r w:rsidRPr="006A373B">
        <w:rPr>
          <w:rFonts w:ascii="Times New Roman" w:hAnsi="Times New Roman"/>
          <w:b/>
          <w:bCs/>
          <w:sz w:val="24"/>
          <w:szCs w:val="24"/>
          <w:lang w:val="en-US"/>
        </w:rPr>
        <w:t>:</w:t>
      </w:r>
    </w:p>
    <w:p w:rsidR="006A373B" w:rsidRPr="006A373B" w:rsidRDefault="006A373B" w:rsidP="00BF6A3C">
      <w:pPr>
        <w:numPr>
          <w:ilvl w:val="0"/>
          <w:numId w:val="27"/>
        </w:numPr>
        <w:rPr>
          <w:rFonts w:ascii="Times New Roman" w:hAnsi="Times New Roman"/>
          <w:sz w:val="24"/>
          <w:szCs w:val="24"/>
          <w:lang w:val="en-US"/>
        </w:rPr>
      </w:pPr>
      <w:r w:rsidRPr="006A373B">
        <w:rPr>
          <w:rFonts w:ascii="Times New Roman" w:hAnsi="Times New Roman"/>
          <w:sz w:val="24"/>
          <w:szCs w:val="24"/>
          <w:lang w:val="en-US"/>
        </w:rPr>
        <w:t>The bioinsecticide Naturalis (</w:t>
      </w:r>
      <w:r w:rsidRPr="006A373B">
        <w:rPr>
          <w:rFonts w:ascii="Times New Roman" w:hAnsi="Times New Roman"/>
          <w:i/>
          <w:iCs/>
          <w:sz w:val="24"/>
          <w:szCs w:val="24"/>
          <w:lang w:val="en-US"/>
        </w:rPr>
        <w:t>B. bassiana</w:t>
      </w:r>
      <w:r w:rsidRPr="006A373B">
        <w:rPr>
          <w:rFonts w:ascii="Times New Roman" w:hAnsi="Times New Roman"/>
          <w:sz w:val="24"/>
          <w:szCs w:val="24"/>
          <w:lang w:val="en-US"/>
        </w:rPr>
        <w:t>) demonstrated high insecticidal activity under laboratory conditions against both adults (up to 93% corrected mortality at the highest tested concentrations) and, particularly, larvae (over 95% corrected mortality) at all tested concentrations, with a rapid lethal effect. At the end of the experiment, high corrected mortality (&gt;95%) of larvae was observed for all tested product suspensions.</w:t>
      </w:r>
    </w:p>
    <w:p w:rsidR="006A373B" w:rsidRPr="006A373B" w:rsidRDefault="006A373B" w:rsidP="00BF6A3C">
      <w:pPr>
        <w:ind w:firstLine="0"/>
        <w:rPr>
          <w:rFonts w:ascii="Times New Roman" w:hAnsi="Times New Roman"/>
          <w:sz w:val="24"/>
          <w:szCs w:val="24"/>
          <w:lang w:val="en-US"/>
        </w:rPr>
      </w:pPr>
    </w:p>
    <w:p w:rsidR="006A373B" w:rsidRPr="006A373B" w:rsidRDefault="006A373B" w:rsidP="00BF6A3C">
      <w:pPr>
        <w:ind w:firstLine="0"/>
        <w:outlineLvl w:val="2"/>
        <w:rPr>
          <w:rFonts w:ascii="Times New Roman" w:hAnsi="Times New Roman"/>
          <w:b/>
          <w:bCs/>
          <w:sz w:val="24"/>
          <w:szCs w:val="24"/>
          <w:lang w:val="en-US"/>
        </w:rPr>
      </w:pPr>
      <w:r w:rsidRPr="006A373B">
        <w:rPr>
          <w:rFonts w:ascii="Times New Roman" w:hAnsi="Times New Roman"/>
          <w:b/>
          <w:bCs/>
          <w:i/>
          <w:iCs/>
          <w:sz w:val="24"/>
          <w:szCs w:val="24"/>
          <w:lang w:val="en-US"/>
        </w:rPr>
        <w:t>Zea mays</w:t>
      </w:r>
      <w:r w:rsidRPr="006A373B">
        <w:rPr>
          <w:rFonts w:ascii="Times New Roman" w:hAnsi="Times New Roman"/>
          <w:b/>
          <w:bCs/>
          <w:sz w:val="24"/>
          <w:szCs w:val="24"/>
          <w:lang w:val="en-US"/>
        </w:rPr>
        <w:t>:</w:t>
      </w:r>
    </w:p>
    <w:p w:rsidR="006A373B" w:rsidRPr="006A373B" w:rsidRDefault="006A373B" w:rsidP="00BF6A3C">
      <w:pPr>
        <w:numPr>
          <w:ilvl w:val="0"/>
          <w:numId w:val="28"/>
        </w:numPr>
        <w:rPr>
          <w:rFonts w:ascii="Times New Roman" w:hAnsi="Times New Roman"/>
          <w:sz w:val="24"/>
          <w:szCs w:val="24"/>
          <w:lang w:val="en-US"/>
        </w:rPr>
      </w:pPr>
      <w:r w:rsidRPr="006A373B">
        <w:rPr>
          <w:rFonts w:ascii="Times New Roman" w:hAnsi="Times New Roman"/>
          <w:sz w:val="24"/>
          <w:szCs w:val="24"/>
          <w:lang w:val="en-US"/>
        </w:rPr>
        <w:t>Under laboratory conditions, a clear phytotoxic effect of Greek oregano EO on young maize plants, expressed as leaf browning and plant death, was observed only after treatment with emulsions at a concentration of 100 µl/ml.</w:t>
      </w:r>
    </w:p>
    <w:p w:rsidR="006A373B" w:rsidRPr="006A373B" w:rsidRDefault="006A373B" w:rsidP="00BF6A3C">
      <w:pPr>
        <w:numPr>
          <w:ilvl w:val="0"/>
          <w:numId w:val="28"/>
        </w:numPr>
        <w:rPr>
          <w:rFonts w:ascii="Times New Roman" w:hAnsi="Times New Roman"/>
          <w:sz w:val="24"/>
          <w:szCs w:val="24"/>
          <w:lang w:val="en-US"/>
        </w:rPr>
      </w:pPr>
      <w:r w:rsidRPr="006A373B">
        <w:rPr>
          <w:rFonts w:ascii="Times New Roman" w:hAnsi="Times New Roman"/>
          <w:sz w:val="24"/>
          <w:szCs w:val="24"/>
          <w:lang w:val="en-US"/>
        </w:rPr>
        <w:lastRenderedPageBreak/>
        <w:t>Under field conditions, young maize plants treated with Greek oregano EO at concentrations ranging from 0.1 to 100 µl/ml did not show symptoms of phytotoxicity at the end of the observation period.</w:t>
      </w:r>
    </w:p>
    <w:p w:rsidR="009064D1" w:rsidRPr="009064D1" w:rsidRDefault="009064D1" w:rsidP="00BF6A3C">
      <w:pPr>
        <w:ind w:firstLine="0"/>
        <w:rPr>
          <w:rFonts w:ascii="Times New Roman" w:hAnsi="Times New Roman"/>
          <w:sz w:val="24"/>
          <w:szCs w:val="24"/>
          <w:lang w:val="en-US"/>
        </w:rPr>
      </w:pPr>
    </w:p>
    <w:p w:rsidR="006A373B" w:rsidRPr="003950A4" w:rsidRDefault="006A373B" w:rsidP="003950A4">
      <w:pPr>
        <w:ind w:firstLine="0"/>
        <w:jc w:val="center"/>
        <w:outlineLvl w:val="1"/>
        <w:rPr>
          <w:rFonts w:ascii="Times New Roman" w:hAnsi="Times New Roman"/>
          <w:b/>
          <w:bCs/>
          <w:caps/>
          <w:sz w:val="32"/>
          <w:szCs w:val="32"/>
          <w:lang w:val="en-US"/>
        </w:rPr>
      </w:pPr>
      <w:r w:rsidRPr="003950A4">
        <w:rPr>
          <w:rFonts w:ascii="Times New Roman" w:hAnsi="Times New Roman"/>
          <w:b/>
          <w:bCs/>
          <w:caps/>
          <w:sz w:val="32"/>
          <w:szCs w:val="32"/>
          <w:lang w:val="en-US"/>
        </w:rPr>
        <w:t>Contributions</w:t>
      </w:r>
    </w:p>
    <w:p w:rsidR="006A373B" w:rsidRPr="006A373B" w:rsidRDefault="006A373B" w:rsidP="00BF6A3C">
      <w:pPr>
        <w:ind w:firstLine="0"/>
        <w:outlineLvl w:val="2"/>
        <w:rPr>
          <w:rFonts w:ascii="Times New Roman" w:hAnsi="Times New Roman"/>
          <w:b/>
          <w:bCs/>
          <w:sz w:val="24"/>
          <w:szCs w:val="24"/>
          <w:lang w:val="en-US"/>
        </w:rPr>
      </w:pPr>
      <w:r w:rsidRPr="006A373B">
        <w:rPr>
          <w:rFonts w:ascii="Times New Roman" w:hAnsi="Times New Roman"/>
          <w:b/>
          <w:bCs/>
          <w:sz w:val="24"/>
          <w:szCs w:val="24"/>
          <w:lang w:val="en-US"/>
        </w:rPr>
        <w:t>Scientific contributions</w:t>
      </w:r>
    </w:p>
    <w:p w:rsidR="006A373B" w:rsidRPr="006A373B" w:rsidRDefault="006A373B" w:rsidP="00BF6A3C">
      <w:pPr>
        <w:numPr>
          <w:ilvl w:val="0"/>
          <w:numId w:val="29"/>
        </w:numPr>
        <w:rPr>
          <w:rFonts w:ascii="Times New Roman" w:hAnsi="Times New Roman"/>
          <w:sz w:val="24"/>
          <w:szCs w:val="24"/>
          <w:lang w:val="en-US"/>
        </w:rPr>
      </w:pPr>
      <w:r w:rsidRPr="006A373B">
        <w:rPr>
          <w:rFonts w:ascii="Times New Roman" w:hAnsi="Times New Roman"/>
          <w:sz w:val="24"/>
          <w:szCs w:val="24"/>
          <w:lang w:val="en-US"/>
        </w:rPr>
        <w:t>For the first time, attractants for the grey corn weevil were identified: E2-6OH and Z3-6OH, as well as their 1:1 binary blend. These compounds function as food attractants (kairomones).</w:t>
      </w:r>
    </w:p>
    <w:p w:rsidR="006A373B" w:rsidRPr="006A373B" w:rsidRDefault="006A373B" w:rsidP="00BF6A3C">
      <w:pPr>
        <w:numPr>
          <w:ilvl w:val="0"/>
          <w:numId w:val="29"/>
        </w:numPr>
        <w:rPr>
          <w:rFonts w:ascii="Times New Roman" w:hAnsi="Times New Roman"/>
          <w:sz w:val="24"/>
          <w:szCs w:val="24"/>
          <w:lang w:val="en-US"/>
        </w:rPr>
      </w:pPr>
      <w:r w:rsidRPr="006A373B">
        <w:rPr>
          <w:rFonts w:ascii="Times New Roman" w:hAnsi="Times New Roman"/>
          <w:sz w:val="24"/>
          <w:szCs w:val="24"/>
          <w:lang w:val="en-US"/>
        </w:rPr>
        <w:t xml:space="preserve">The composition of the lure, the type of dispenser, and the trap design were demonstrated to be important factors influencing the captures of adult </w:t>
      </w:r>
      <w:r w:rsidRPr="006A373B">
        <w:rPr>
          <w:rFonts w:ascii="Times New Roman" w:hAnsi="Times New Roman"/>
          <w:i/>
          <w:iCs/>
          <w:sz w:val="24"/>
          <w:szCs w:val="24"/>
          <w:lang w:val="en-US"/>
        </w:rPr>
        <w:t>T. dilaticollis</w:t>
      </w:r>
      <w:r w:rsidRPr="006A373B">
        <w:rPr>
          <w:rFonts w:ascii="Times New Roman" w:hAnsi="Times New Roman"/>
          <w:sz w:val="24"/>
          <w:szCs w:val="24"/>
          <w:lang w:val="en-US"/>
        </w:rPr>
        <w:t xml:space="preserve"> individuals under field conditions.</w:t>
      </w:r>
    </w:p>
    <w:p w:rsidR="006A373B" w:rsidRPr="006A373B" w:rsidRDefault="006A373B" w:rsidP="00BF6A3C">
      <w:pPr>
        <w:numPr>
          <w:ilvl w:val="0"/>
          <w:numId w:val="29"/>
        </w:numPr>
        <w:rPr>
          <w:rFonts w:ascii="Times New Roman" w:hAnsi="Times New Roman"/>
          <w:sz w:val="24"/>
          <w:szCs w:val="24"/>
          <w:lang w:val="en-US"/>
        </w:rPr>
      </w:pPr>
      <w:r w:rsidRPr="006A373B">
        <w:rPr>
          <w:rFonts w:ascii="Times New Roman" w:hAnsi="Times New Roman"/>
          <w:sz w:val="24"/>
          <w:szCs w:val="24"/>
          <w:lang w:val="en-US"/>
        </w:rPr>
        <w:t>For the first time, data on sex pheromone communication in the grey corn weevil were obtained.</w:t>
      </w:r>
    </w:p>
    <w:p w:rsidR="006A373B" w:rsidRPr="006A373B" w:rsidRDefault="006A373B" w:rsidP="00BF6A3C">
      <w:pPr>
        <w:numPr>
          <w:ilvl w:val="0"/>
          <w:numId w:val="29"/>
        </w:numPr>
        <w:rPr>
          <w:rFonts w:ascii="Times New Roman" w:hAnsi="Times New Roman"/>
          <w:sz w:val="24"/>
          <w:szCs w:val="24"/>
          <w:lang w:val="en-US"/>
        </w:rPr>
      </w:pPr>
      <w:r w:rsidRPr="006A373B">
        <w:rPr>
          <w:rFonts w:ascii="Times New Roman" w:hAnsi="Times New Roman"/>
          <w:sz w:val="24"/>
          <w:szCs w:val="24"/>
          <w:lang w:val="en-US"/>
        </w:rPr>
        <w:t xml:space="preserve">For the first time in Bulgaria, new data on the seasonal flight dynamics of </w:t>
      </w:r>
      <w:r w:rsidRPr="006A373B">
        <w:rPr>
          <w:rFonts w:ascii="Times New Roman" w:hAnsi="Times New Roman"/>
          <w:i/>
          <w:iCs/>
          <w:sz w:val="24"/>
          <w:szCs w:val="24"/>
          <w:lang w:val="en-US"/>
        </w:rPr>
        <w:t>D. v. virgifera</w:t>
      </w:r>
      <w:r w:rsidRPr="006A373B">
        <w:rPr>
          <w:rFonts w:ascii="Times New Roman" w:hAnsi="Times New Roman"/>
          <w:sz w:val="24"/>
          <w:szCs w:val="24"/>
          <w:lang w:val="en-US"/>
        </w:rPr>
        <w:t xml:space="preserve"> were obtained using KLP+ traps equipped with a dual lure (sex pheromone + plant attractant).</w:t>
      </w:r>
    </w:p>
    <w:p w:rsidR="006A373B" w:rsidRPr="006A373B" w:rsidRDefault="006A373B" w:rsidP="00BF6A3C">
      <w:pPr>
        <w:numPr>
          <w:ilvl w:val="0"/>
          <w:numId w:val="29"/>
        </w:numPr>
        <w:rPr>
          <w:rFonts w:ascii="Times New Roman" w:hAnsi="Times New Roman"/>
          <w:sz w:val="24"/>
          <w:szCs w:val="24"/>
          <w:lang w:val="en-US"/>
        </w:rPr>
      </w:pPr>
      <w:r w:rsidRPr="006A373B">
        <w:rPr>
          <w:rFonts w:ascii="Times New Roman" w:hAnsi="Times New Roman"/>
          <w:sz w:val="24"/>
          <w:szCs w:val="24"/>
          <w:lang w:val="en-US"/>
        </w:rPr>
        <w:t xml:space="preserve">For the first time, the insecticidal effect of Naturalis was demonstrated under field conditions against </w:t>
      </w:r>
      <w:r w:rsidRPr="006A373B">
        <w:rPr>
          <w:rFonts w:ascii="Times New Roman" w:hAnsi="Times New Roman"/>
          <w:i/>
          <w:iCs/>
          <w:sz w:val="24"/>
          <w:szCs w:val="24"/>
          <w:lang w:val="en-US"/>
        </w:rPr>
        <w:t>T. dilaticollis</w:t>
      </w:r>
      <w:r w:rsidRPr="006A373B">
        <w:rPr>
          <w:rFonts w:ascii="Times New Roman" w:hAnsi="Times New Roman"/>
          <w:sz w:val="24"/>
          <w:szCs w:val="24"/>
          <w:lang w:val="en-US"/>
        </w:rPr>
        <w:t xml:space="preserve"> and under laboratory conditions against </w:t>
      </w:r>
      <w:r w:rsidRPr="006A373B">
        <w:rPr>
          <w:rFonts w:ascii="Times New Roman" w:hAnsi="Times New Roman"/>
          <w:i/>
          <w:iCs/>
          <w:sz w:val="24"/>
          <w:szCs w:val="24"/>
          <w:lang w:val="en-US"/>
        </w:rPr>
        <w:t>O. melanopus</w:t>
      </w:r>
      <w:r w:rsidRPr="006A373B">
        <w:rPr>
          <w:rFonts w:ascii="Times New Roman" w:hAnsi="Times New Roman"/>
          <w:sz w:val="24"/>
          <w:szCs w:val="24"/>
          <w:lang w:val="en-US"/>
        </w:rPr>
        <w:t xml:space="preserve">. Larvae of the cereal leaf beetle were more susceptible than adults of the same species to the action of the entomopathogenic fungus </w:t>
      </w:r>
      <w:r w:rsidRPr="006A373B">
        <w:rPr>
          <w:rFonts w:ascii="Times New Roman" w:hAnsi="Times New Roman"/>
          <w:i/>
          <w:iCs/>
          <w:sz w:val="24"/>
          <w:szCs w:val="24"/>
          <w:lang w:val="en-US"/>
        </w:rPr>
        <w:t>B. bassiana</w:t>
      </w:r>
      <w:r w:rsidRPr="006A373B">
        <w:rPr>
          <w:rFonts w:ascii="Times New Roman" w:hAnsi="Times New Roman"/>
          <w:sz w:val="24"/>
          <w:szCs w:val="24"/>
          <w:lang w:val="en-US"/>
        </w:rPr>
        <w:t xml:space="preserve"> strain ATCC 74040.</w:t>
      </w:r>
    </w:p>
    <w:p w:rsidR="006A373B" w:rsidRPr="006A373B" w:rsidRDefault="006A373B" w:rsidP="00BF6A3C">
      <w:pPr>
        <w:numPr>
          <w:ilvl w:val="0"/>
          <w:numId w:val="29"/>
        </w:numPr>
        <w:rPr>
          <w:rFonts w:ascii="Times New Roman" w:hAnsi="Times New Roman"/>
          <w:sz w:val="24"/>
          <w:szCs w:val="24"/>
          <w:lang w:val="en-US"/>
        </w:rPr>
      </w:pPr>
      <w:r w:rsidRPr="006A373B">
        <w:rPr>
          <w:rFonts w:ascii="Times New Roman" w:hAnsi="Times New Roman"/>
          <w:sz w:val="24"/>
          <w:szCs w:val="24"/>
          <w:lang w:val="en-US"/>
        </w:rPr>
        <w:t xml:space="preserve">New data were obtained on the pathogenicity of </w:t>
      </w:r>
      <w:r w:rsidRPr="006A373B">
        <w:rPr>
          <w:rFonts w:ascii="Times New Roman" w:hAnsi="Times New Roman"/>
          <w:i/>
          <w:iCs/>
          <w:sz w:val="24"/>
          <w:szCs w:val="24"/>
          <w:lang w:val="en-US"/>
        </w:rPr>
        <w:t>Metarhizium pemphigi</w:t>
      </w:r>
      <w:r w:rsidRPr="006A373B">
        <w:rPr>
          <w:rFonts w:ascii="Times New Roman" w:hAnsi="Times New Roman"/>
          <w:sz w:val="24"/>
          <w:szCs w:val="24"/>
          <w:lang w:val="en-US"/>
        </w:rPr>
        <w:t xml:space="preserve"> (strain AMEP28) against adults of </w:t>
      </w:r>
      <w:r w:rsidRPr="006A373B">
        <w:rPr>
          <w:rFonts w:ascii="Times New Roman" w:hAnsi="Times New Roman"/>
          <w:i/>
          <w:iCs/>
          <w:sz w:val="24"/>
          <w:szCs w:val="24"/>
          <w:lang w:val="en-US"/>
        </w:rPr>
        <w:t>D. v. virgifera</w:t>
      </w:r>
      <w:r w:rsidRPr="006A373B">
        <w:rPr>
          <w:rFonts w:ascii="Times New Roman" w:hAnsi="Times New Roman"/>
          <w:sz w:val="24"/>
          <w:szCs w:val="24"/>
          <w:lang w:val="en-US"/>
        </w:rPr>
        <w:t>.</w:t>
      </w:r>
    </w:p>
    <w:p w:rsidR="006A373B" w:rsidRPr="006A373B" w:rsidRDefault="006A373B" w:rsidP="00BF6A3C">
      <w:pPr>
        <w:numPr>
          <w:ilvl w:val="0"/>
          <w:numId w:val="29"/>
        </w:numPr>
        <w:rPr>
          <w:rFonts w:ascii="Times New Roman" w:hAnsi="Times New Roman"/>
          <w:sz w:val="24"/>
          <w:szCs w:val="24"/>
          <w:lang w:val="en-US"/>
        </w:rPr>
      </w:pPr>
      <w:r w:rsidRPr="006A373B">
        <w:rPr>
          <w:rFonts w:ascii="Times New Roman" w:hAnsi="Times New Roman"/>
          <w:sz w:val="24"/>
          <w:szCs w:val="24"/>
          <w:lang w:val="en-US"/>
        </w:rPr>
        <w:t xml:space="preserve">For the first time in Bulgaria, nematode-based products containing entomopathogenic nematodes of the species </w:t>
      </w:r>
      <w:r w:rsidRPr="006A373B">
        <w:rPr>
          <w:rFonts w:ascii="Times New Roman" w:hAnsi="Times New Roman"/>
          <w:i/>
          <w:iCs/>
          <w:sz w:val="24"/>
          <w:szCs w:val="24"/>
          <w:lang w:val="en-US"/>
        </w:rPr>
        <w:t>Steinernema carpocapsae</w:t>
      </w:r>
      <w:r w:rsidRPr="006A373B">
        <w:rPr>
          <w:rFonts w:ascii="Times New Roman" w:hAnsi="Times New Roman"/>
          <w:sz w:val="24"/>
          <w:szCs w:val="24"/>
          <w:lang w:val="en-US"/>
        </w:rPr>
        <w:t xml:space="preserve"> were tested against </w:t>
      </w:r>
      <w:r w:rsidRPr="006A373B">
        <w:rPr>
          <w:rFonts w:ascii="Times New Roman" w:hAnsi="Times New Roman"/>
          <w:i/>
          <w:iCs/>
          <w:sz w:val="24"/>
          <w:szCs w:val="24"/>
          <w:lang w:val="en-US"/>
        </w:rPr>
        <w:t>T. dilaticollis</w:t>
      </w:r>
      <w:r w:rsidRPr="006A373B">
        <w:rPr>
          <w:rFonts w:ascii="Times New Roman" w:hAnsi="Times New Roman"/>
          <w:sz w:val="24"/>
          <w:szCs w:val="24"/>
          <w:lang w:val="en-US"/>
        </w:rPr>
        <w:t>: the powder formulation Nemastar® under semi-field and field conditions and Nematop Käfer-Stopp trap® (e-nema GmbH, Germany) under field conditions. Nematode infections were confirmed in dead pest individuals as a result of these investigations.</w:t>
      </w:r>
    </w:p>
    <w:p w:rsidR="006A373B" w:rsidRPr="006A373B" w:rsidRDefault="006A373B" w:rsidP="00BF6A3C">
      <w:pPr>
        <w:numPr>
          <w:ilvl w:val="0"/>
          <w:numId w:val="29"/>
        </w:numPr>
        <w:rPr>
          <w:rFonts w:ascii="Times New Roman" w:hAnsi="Times New Roman"/>
          <w:sz w:val="24"/>
          <w:szCs w:val="24"/>
          <w:lang w:val="en-US"/>
        </w:rPr>
      </w:pPr>
      <w:r w:rsidRPr="006A373B">
        <w:rPr>
          <w:rFonts w:ascii="Times New Roman" w:hAnsi="Times New Roman"/>
          <w:sz w:val="24"/>
          <w:szCs w:val="24"/>
          <w:lang w:val="en-US"/>
        </w:rPr>
        <w:t xml:space="preserve">For the first time, the biological activity of essential oil from Greek oregano was evaluated against adults of </w:t>
      </w:r>
      <w:r w:rsidRPr="006A373B">
        <w:rPr>
          <w:rFonts w:ascii="Times New Roman" w:hAnsi="Times New Roman"/>
          <w:i/>
          <w:iCs/>
          <w:sz w:val="24"/>
          <w:szCs w:val="24"/>
          <w:lang w:val="en-US"/>
        </w:rPr>
        <w:t>T. dilaticollis</w:t>
      </w:r>
      <w:r w:rsidRPr="006A373B">
        <w:rPr>
          <w:rFonts w:ascii="Times New Roman" w:hAnsi="Times New Roman"/>
          <w:sz w:val="24"/>
          <w:szCs w:val="24"/>
          <w:lang w:val="en-US"/>
        </w:rPr>
        <w:t xml:space="preserve"> and </w:t>
      </w:r>
      <w:r w:rsidRPr="006A373B">
        <w:rPr>
          <w:rFonts w:ascii="Times New Roman" w:hAnsi="Times New Roman"/>
          <w:i/>
          <w:iCs/>
          <w:sz w:val="24"/>
          <w:szCs w:val="24"/>
          <w:lang w:val="en-US"/>
        </w:rPr>
        <w:t>D. v. virgifera</w:t>
      </w:r>
      <w:r w:rsidRPr="006A373B">
        <w:rPr>
          <w:rFonts w:ascii="Times New Roman" w:hAnsi="Times New Roman"/>
          <w:sz w:val="24"/>
          <w:szCs w:val="24"/>
          <w:lang w:val="en-US"/>
        </w:rPr>
        <w:t xml:space="preserve"> under laboratory conditions. </w:t>
      </w:r>
      <w:r w:rsidRPr="006A373B">
        <w:rPr>
          <w:rFonts w:ascii="Times New Roman" w:hAnsi="Times New Roman"/>
          <w:sz w:val="24"/>
          <w:szCs w:val="24"/>
          <w:lang w:val="en-US"/>
        </w:rPr>
        <w:lastRenderedPageBreak/>
        <w:t>The oil demonstrated toxic effects against both species, with the western corn rootworm showing higher sensitivity to the tested emulsions.</w:t>
      </w:r>
    </w:p>
    <w:p w:rsidR="006A373B" w:rsidRPr="006A373B" w:rsidRDefault="006A373B" w:rsidP="00BF6A3C">
      <w:pPr>
        <w:ind w:firstLine="0"/>
        <w:rPr>
          <w:rFonts w:ascii="Times New Roman" w:hAnsi="Times New Roman"/>
          <w:sz w:val="24"/>
          <w:szCs w:val="24"/>
          <w:lang w:val="en-US"/>
        </w:rPr>
      </w:pPr>
    </w:p>
    <w:p w:rsidR="006A373B" w:rsidRPr="006A373B" w:rsidRDefault="006A373B" w:rsidP="00BF6A3C">
      <w:pPr>
        <w:ind w:firstLine="0"/>
        <w:outlineLvl w:val="2"/>
        <w:rPr>
          <w:rFonts w:ascii="Times New Roman" w:hAnsi="Times New Roman"/>
          <w:b/>
          <w:bCs/>
          <w:sz w:val="24"/>
          <w:szCs w:val="24"/>
          <w:lang w:val="en-US"/>
        </w:rPr>
      </w:pPr>
      <w:r w:rsidRPr="006A373B">
        <w:rPr>
          <w:rFonts w:ascii="Times New Roman" w:hAnsi="Times New Roman"/>
          <w:b/>
          <w:bCs/>
          <w:sz w:val="24"/>
          <w:szCs w:val="24"/>
          <w:lang w:val="en-US"/>
        </w:rPr>
        <w:t>Scientific and applied contributions</w:t>
      </w:r>
    </w:p>
    <w:p w:rsidR="006765D5" w:rsidRPr="006765D5" w:rsidRDefault="006765D5" w:rsidP="00BF6A3C">
      <w:pPr>
        <w:numPr>
          <w:ilvl w:val="0"/>
          <w:numId w:val="30"/>
        </w:numPr>
        <w:rPr>
          <w:rFonts w:ascii="Times New Roman" w:hAnsi="Times New Roman"/>
          <w:sz w:val="24"/>
          <w:szCs w:val="24"/>
          <w:lang w:val="en-US"/>
        </w:rPr>
      </w:pPr>
      <w:r w:rsidRPr="006765D5">
        <w:rPr>
          <w:rFonts w:ascii="Times New Roman" w:hAnsi="Times New Roman"/>
          <w:bCs/>
          <w:sz w:val="24"/>
          <w:szCs w:val="24"/>
          <w:lang w:val="en-US"/>
        </w:rPr>
        <w:t xml:space="preserve">TAL sticky traps (Csalomon®, Hungary), equipped with a two-component lure consisting of E2-6OH and Z3-6OH in a 1:1 ratio, applied to polyethylene container-type dispensers with caps and a volume of 2.5 ml (Just Plastics Ltd., UK), are an appropriate tool for monitoring the seasonal activity of adult individuals of </w:t>
      </w:r>
      <w:r w:rsidRPr="006765D5">
        <w:rPr>
          <w:rFonts w:ascii="Times New Roman" w:hAnsi="Times New Roman"/>
          <w:bCs/>
          <w:i/>
          <w:iCs/>
          <w:sz w:val="24"/>
          <w:szCs w:val="24"/>
          <w:lang w:val="en-US"/>
        </w:rPr>
        <w:t>T. dilaticollis</w:t>
      </w:r>
      <w:r w:rsidRPr="006765D5">
        <w:rPr>
          <w:rFonts w:ascii="Times New Roman" w:hAnsi="Times New Roman"/>
          <w:bCs/>
          <w:sz w:val="24"/>
          <w:szCs w:val="24"/>
          <w:lang w:val="en-US"/>
        </w:rPr>
        <w:t xml:space="preserve">. This lure also attracts adults of the pest species black beet weevil, </w:t>
      </w:r>
      <w:r w:rsidRPr="006765D5">
        <w:rPr>
          <w:rFonts w:ascii="Times New Roman" w:hAnsi="Times New Roman"/>
          <w:bCs/>
          <w:i/>
          <w:iCs/>
          <w:sz w:val="24"/>
          <w:szCs w:val="24"/>
          <w:lang w:val="en-US"/>
        </w:rPr>
        <w:t>Psallidium maxillosum</w:t>
      </w:r>
      <w:r w:rsidRPr="006765D5">
        <w:rPr>
          <w:rFonts w:ascii="Times New Roman" w:hAnsi="Times New Roman"/>
          <w:bCs/>
          <w:sz w:val="24"/>
          <w:szCs w:val="24"/>
          <w:lang w:val="en-US"/>
        </w:rPr>
        <w:t>. To obtain more accurate data, regular recording of trap catches and replacement of the sticky surfaces (2–3 times per week), as well as periodic replacement of the semiochemical lure at intervals of 3–4 weeks, are necessary.</w:t>
      </w:r>
    </w:p>
    <w:p w:rsidR="006A373B" w:rsidRPr="006A373B" w:rsidRDefault="006A373B" w:rsidP="00BF6A3C">
      <w:pPr>
        <w:numPr>
          <w:ilvl w:val="0"/>
          <w:numId w:val="30"/>
        </w:numPr>
        <w:rPr>
          <w:rFonts w:ascii="Times New Roman" w:hAnsi="Times New Roman"/>
          <w:sz w:val="24"/>
          <w:szCs w:val="24"/>
          <w:lang w:val="en-US"/>
        </w:rPr>
      </w:pPr>
      <w:r w:rsidRPr="006A373B">
        <w:rPr>
          <w:rFonts w:ascii="Times New Roman" w:hAnsi="Times New Roman"/>
          <w:sz w:val="24"/>
          <w:szCs w:val="24"/>
          <w:lang w:val="en-US"/>
        </w:rPr>
        <w:t>Nemastar® is suitable for application against adults of the grey corn weevil in biological and integrated production systems at a rate of 5 billion nematodes/ha, provided that the conditions of use specified by the manufacturer are strictly followed.</w:t>
      </w:r>
    </w:p>
    <w:p w:rsidR="006A373B" w:rsidRPr="006A373B" w:rsidRDefault="006A373B" w:rsidP="00BF6A3C">
      <w:pPr>
        <w:numPr>
          <w:ilvl w:val="0"/>
          <w:numId w:val="30"/>
        </w:numPr>
        <w:rPr>
          <w:rFonts w:ascii="Times New Roman" w:hAnsi="Times New Roman"/>
          <w:sz w:val="24"/>
          <w:szCs w:val="24"/>
          <w:lang w:val="en-US"/>
        </w:rPr>
      </w:pPr>
      <w:r w:rsidRPr="006A373B">
        <w:rPr>
          <w:rFonts w:ascii="Times New Roman" w:hAnsi="Times New Roman"/>
          <w:sz w:val="24"/>
          <w:szCs w:val="24"/>
          <w:lang w:val="en-US"/>
        </w:rPr>
        <w:t xml:space="preserve">KLP+ traps combined with a dual lure (sex pheromone + plant attractant) represent a suitable tool for surveying and monitoring the seasonal flight dynamics of </w:t>
      </w:r>
      <w:r w:rsidRPr="006A373B">
        <w:rPr>
          <w:rFonts w:ascii="Times New Roman" w:hAnsi="Times New Roman"/>
          <w:i/>
          <w:iCs/>
          <w:sz w:val="24"/>
          <w:szCs w:val="24"/>
          <w:lang w:val="en-US"/>
        </w:rPr>
        <w:t>D. v. virgifera</w:t>
      </w:r>
      <w:r w:rsidRPr="006A373B">
        <w:rPr>
          <w:rFonts w:ascii="Times New Roman" w:hAnsi="Times New Roman"/>
          <w:sz w:val="24"/>
          <w:szCs w:val="24"/>
          <w:lang w:val="en-US"/>
        </w:rPr>
        <w:t>.</w:t>
      </w:r>
    </w:p>
    <w:p w:rsidR="006A373B" w:rsidRPr="006A373B" w:rsidRDefault="006A373B" w:rsidP="00BF6A3C">
      <w:pPr>
        <w:ind w:firstLine="0"/>
        <w:rPr>
          <w:rFonts w:ascii="Times New Roman" w:hAnsi="Times New Roman"/>
          <w:sz w:val="24"/>
          <w:szCs w:val="24"/>
          <w:lang w:val="en-US"/>
        </w:rPr>
      </w:pPr>
      <w:r w:rsidRPr="006A373B">
        <w:rPr>
          <w:rFonts w:ascii="Times New Roman" w:hAnsi="Times New Roman"/>
          <w:sz w:val="24"/>
          <w:szCs w:val="24"/>
          <w:lang w:val="en-US"/>
        </w:rPr>
        <w:t>The results of this dissertation may serve as a basis for future research aimed at developing practical recommendations and new biorational products and strategies under conditions of increasing restrictions on neonicotinoids and growing demands for environmentally friendly agriculture.</w:t>
      </w:r>
    </w:p>
    <w:p w:rsidR="009064D1" w:rsidRPr="009064D1" w:rsidRDefault="009064D1" w:rsidP="009064D1">
      <w:pPr>
        <w:spacing w:line="240" w:lineRule="auto"/>
        <w:ind w:firstLine="0"/>
        <w:jc w:val="left"/>
        <w:rPr>
          <w:rFonts w:ascii="Times New Roman" w:hAnsi="Times New Roman"/>
          <w:sz w:val="24"/>
          <w:szCs w:val="24"/>
          <w:lang w:val="en-US"/>
        </w:rPr>
      </w:pPr>
    </w:p>
    <w:p w:rsidR="00283DAE" w:rsidRDefault="00283DAE" w:rsidP="006A373B">
      <w:pPr>
        <w:ind w:firstLine="567"/>
        <w:jc w:val="center"/>
        <w:rPr>
          <w:rFonts w:ascii="Times New Roman" w:hAnsi="Times New Roman"/>
          <w:b/>
          <w:sz w:val="28"/>
          <w:szCs w:val="28"/>
        </w:rPr>
      </w:pPr>
    </w:p>
    <w:p w:rsidR="000A6E3B" w:rsidRPr="00083A96" w:rsidRDefault="006A373B" w:rsidP="006A373B">
      <w:pPr>
        <w:ind w:firstLine="567"/>
        <w:jc w:val="center"/>
        <w:rPr>
          <w:rFonts w:ascii="Times New Roman" w:hAnsi="Times New Roman"/>
          <w:b/>
          <w:sz w:val="32"/>
          <w:szCs w:val="32"/>
        </w:rPr>
      </w:pPr>
      <w:r w:rsidRPr="00083A96">
        <w:rPr>
          <w:rFonts w:ascii="Times New Roman" w:hAnsi="Times New Roman"/>
          <w:b/>
          <w:sz w:val="32"/>
          <w:szCs w:val="32"/>
        </w:rPr>
        <w:t xml:space="preserve">List of </w:t>
      </w:r>
      <w:r w:rsidR="003950A4">
        <w:rPr>
          <w:rFonts w:ascii="Times New Roman" w:hAnsi="Times New Roman"/>
          <w:b/>
          <w:sz w:val="32"/>
          <w:szCs w:val="32"/>
          <w:lang w:val="en-US"/>
        </w:rPr>
        <w:t>r</w:t>
      </w:r>
      <w:r w:rsidR="003950A4" w:rsidRPr="00083A96">
        <w:rPr>
          <w:rFonts w:ascii="Times New Roman" w:hAnsi="Times New Roman"/>
          <w:b/>
          <w:sz w:val="32"/>
          <w:szCs w:val="32"/>
        </w:rPr>
        <w:t>eferences</w:t>
      </w:r>
    </w:p>
    <w:p w:rsidR="006A373B" w:rsidRPr="00E21316" w:rsidRDefault="00034DEC" w:rsidP="006A373B">
      <w:pPr>
        <w:spacing w:line="240" w:lineRule="auto"/>
        <w:ind w:left="567" w:hanging="567"/>
        <w:rPr>
          <w:rFonts w:ascii="Times New Roman" w:hAnsi="Times New Roman"/>
          <w:sz w:val="24"/>
          <w:szCs w:val="24"/>
          <w:lang w:eastAsia="bg-BG"/>
        </w:rPr>
      </w:pPr>
      <w:r w:rsidRPr="00034DEC">
        <w:rPr>
          <w:rFonts w:ascii="Times New Roman" w:hAnsi="Times New Roman"/>
          <w:sz w:val="24"/>
          <w:szCs w:val="24"/>
          <w:lang w:eastAsia="bg-BG"/>
        </w:rPr>
        <w:t>Angelov P</w:t>
      </w:r>
      <w:r>
        <w:rPr>
          <w:rFonts w:ascii="Times New Roman" w:hAnsi="Times New Roman"/>
          <w:sz w:val="24"/>
          <w:szCs w:val="24"/>
          <w:lang w:val="en-US" w:eastAsia="bg-BG"/>
        </w:rPr>
        <w:t xml:space="preserve">. </w:t>
      </w:r>
      <w:r w:rsidRPr="00034DEC">
        <w:rPr>
          <w:rFonts w:ascii="Times New Roman" w:hAnsi="Times New Roman"/>
          <w:sz w:val="24"/>
          <w:szCs w:val="24"/>
          <w:lang w:eastAsia="bg-BG"/>
        </w:rPr>
        <w:t>A</w:t>
      </w:r>
      <w:r>
        <w:rPr>
          <w:rFonts w:ascii="Times New Roman" w:hAnsi="Times New Roman"/>
          <w:sz w:val="24"/>
          <w:szCs w:val="24"/>
          <w:lang w:val="en-US" w:eastAsia="bg-BG"/>
        </w:rPr>
        <w:t>.</w:t>
      </w:r>
      <w:r w:rsidR="006A373B" w:rsidRPr="00E21316">
        <w:rPr>
          <w:rFonts w:ascii="Times New Roman" w:hAnsi="Times New Roman"/>
          <w:sz w:val="24"/>
          <w:szCs w:val="24"/>
          <w:lang w:eastAsia="bg-BG"/>
        </w:rPr>
        <w:t xml:space="preserve"> </w:t>
      </w:r>
      <w:r w:rsidR="006A373B" w:rsidRPr="00E21316">
        <w:rPr>
          <w:rFonts w:ascii="Times New Roman" w:hAnsi="Times New Roman"/>
          <w:sz w:val="24"/>
          <w:szCs w:val="24"/>
          <w:lang w:val="en-US" w:eastAsia="bg-BG"/>
        </w:rPr>
        <w:t>(</w:t>
      </w:r>
      <w:r w:rsidR="006A373B" w:rsidRPr="00E21316">
        <w:rPr>
          <w:rFonts w:ascii="Times New Roman" w:hAnsi="Times New Roman"/>
          <w:sz w:val="24"/>
          <w:szCs w:val="24"/>
          <w:lang w:val="ru-RU" w:eastAsia="bg-BG"/>
        </w:rPr>
        <w:t>1978</w:t>
      </w:r>
      <w:r w:rsidR="006A373B" w:rsidRPr="00E21316">
        <w:rPr>
          <w:rFonts w:ascii="Times New Roman" w:hAnsi="Times New Roman"/>
          <w:sz w:val="24"/>
          <w:szCs w:val="24"/>
          <w:lang w:val="en-US" w:eastAsia="bg-BG"/>
        </w:rPr>
        <w:t>)</w:t>
      </w:r>
      <w:r w:rsidR="006A373B" w:rsidRPr="00E21316">
        <w:rPr>
          <w:rFonts w:ascii="Times New Roman" w:hAnsi="Times New Roman"/>
          <w:sz w:val="24"/>
          <w:szCs w:val="24"/>
          <w:lang w:val="ru-RU" w:eastAsia="bg-BG"/>
        </w:rPr>
        <w:t>.</w:t>
      </w:r>
      <w:r w:rsidR="006A373B" w:rsidRPr="00E21316">
        <w:rPr>
          <w:rFonts w:ascii="Times New Roman" w:hAnsi="Times New Roman"/>
          <w:sz w:val="24"/>
          <w:szCs w:val="24"/>
          <w:lang w:val="en-US" w:eastAsia="bg-BG"/>
        </w:rPr>
        <w:t xml:space="preserve"> </w:t>
      </w:r>
      <w:r w:rsidRPr="00034DEC">
        <w:rPr>
          <w:rFonts w:ascii="Times New Roman" w:hAnsi="Times New Roman"/>
          <w:sz w:val="24"/>
          <w:szCs w:val="24"/>
          <w:lang w:eastAsia="bg-BG"/>
        </w:rPr>
        <w:t>Fauna of Bulgaria</w:t>
      </w:r>
      <w:r w:rsidR="006A373B" w:rsidRPr="00E21316">
        <w:rPr>
          <w:rFonts w:ascii="Times New Roman" w:hAnsi="Times New Roman"/>
          <w:sz w:val="24"/>
          <w:szCs w:val="24"/>
          <w:lang w:eastAsia="bg-BG"/>
        </w:rPr>
        <w:t xml:space="preserve">, </w:t>
      </w:r>
      <w:r>
        <w:rPr>
          <w:rFonts w:ascii="Times New Roman" w:hAnsi="Times New Roman"/>
          <w:sz w:val="24"/>
          <w:szCs w:val="24"/>
          <w:lang w:val="en-US" w:eastAsia="bg-BG"/>
        </w:rPr>
        <w:t>vol.</w:t>
      </w:r>
      <w:r w:rsidRPr="00E21316">
        <w:rPr>
          <w:rFonts w:ascii="Times New Roman" w:hAnsi="Times New Roman"/>
          <w:sz w:val="24"/>
          <w:szCs w:val="24"/>
          <w:lang w:eastAsia="bg-BG"/>
        </w:rPr>
        <w:t xml:space="preserve"> </w:t>
      </w:r>
      <w:r w:rsidR="006A373B" w:rsidRPr="00E21316">
        <w:rPr>
          <w:rFonts w:ascii="Times New Roman" w:hAnsi="Times New Roman"/>
          <w:sz w:val="24"/>
          <w:szCs w:val="24"/>
          <w:lang w:eastAsia="bg-BG"/>
        </w:rPr>
        <w:t xml:space="preserve">7. Coleoptera, Curculionidae. </w:t>
      </w:r>
      <w:r w:rsidR="006A373B" w:rsidRPr="00E21316">
        <w:rPr>
          <w:rFonts w:ascii="Times New Roman" w:hAnsi="Times New Roman"/>
          <w:sz w:val="24"/>
          <w:szCs w:val="24"/>
          <w:lang w:val="en-US" w:eastAsia="bg-BG"/>
        </w:rPr>
        <w:t xml:space="preserve">II </w:t>
      </w:r>
      <w:r>
        <w:rPr>
          <w:rFonts w:ascii="Times New Roman" w:hAnsi="Times New Roman"/>
          <w:sz w:val="24"/>
          <w:szCs w:val="24"/>
          <w:lang w:val="en-US" w:eastAsia="bg-BG"/>
        </w:rPr>
        <w:t>part</w:t>
      </w:r>
      <w:r w:rsidR="006A373B" w:rsidRPr="00E21316">
        <w:rPr>
          <w:rFonts w:ascii="Times New Roman" w:hAnsi="Times New Roman"/>
          <w:sz w:val="24"/>
          <w:szCs w:val="24"/>
          <w:lang w:eastAsia="bg-BG"/>
        </w:rPr>
        <w:t xml:space="preserve">. Brachyderinae, Brachycerinae, Tanymecinae, Cleoninae, Myorrhininae. </w:t>
      </w:r>
      <w:r w:rsidR="00536B2F" w:rsidRPr="00536B2F">
        <w:rPr>
          <w:rFonts w:ascii="Times New Roman" w:hAnsi="Times New Roman"/>
          <w:sz w:val="24"/>
          <w:szCs w:val="24"/>
          <w:lang w:eastAsia="bg-BG"/>
        </w:rPr>
        <w:t>Bulgarian Academy of Sciences, Sofia</w:t>
      </w:r>
      <w:r w:rsidR="006A373B" w:rsidRPr="00E21316">
        <w:rPr>
          <w:rFonts w:ascii="Times New Roman" w:hAnsi="Times New Roman"/>
          <w:sz w:val="24"/>
          <w:szCs w:val="24"/>
          <w:lang w:eastAsia="bg-BG"/>
        </w:rPr>
        <w:t xml:space="preserve">, 234 </w:t>
      </w:r>
      <w:r w:rsidR="00536B2F">
        <w:rPr>
          <w:rFonts w:ascii="Times New Roman" w:hAnsi="Times New Roman"/>
          <w:sz w:val="24"/>
          <w:szCs w:val="24"/>
          <w:lang w:val="en-US" w:eastAsia="bg-BG"/>
        </w:rPr>
        <w:t>pp</w:t>
      </w:r>
      <w:r w:rsidR="00A1676C">
        <w:rPr>
          <w:rFonts w:ascii="Times New Roman" w:hAnsi="Times New Roman"/>
          <w:sz w:val="24"/>
          <w:szCs w:val="24"/>
          <w:lang w:val="en-US" w:eastAsia="bg-BG"/>
        </w:rPr>
        <w:t>.</w:t>
      </w:r>
      <w:r w:rsidR="007B6012" w:rsidRPr="007B6012">
        <w:rPr>
          <w:rFonts w:ascii="Times New Roman" w:hAnsi="Times New Roman"/>
          <w:sz w:val="24"/>
          <w:szCs w:val="24"/>
          <w:lang w:eastAsia="bg-BG"/>
        </w:rPr>
        <w:t xml:space="preserve"> (in Bulgarian)</w:t>
      </w:r>
    </w:p>
    <w:p w:rsidR="006A373B" w:rsidRPr="007B6012" w:rsidRDefault="00536B2F" w:rsidP="006A373B">
      <w:pPr>
        <w:spacing w:line="240" w:lineRule="auto"/>
        <w:ind w:left="567" w:hanging="567"/>
        <w:rPr>
          <w:rFonts w:ascii="Times New Roman" w:hAnsi="Times New Roman"/>
          <w:sz w:val="24"/>
          <w:szCs w:val="24"/>
          <w:lang w:val="en-US" w:eastAsia="bg-BG"/>
        </w:rPr>
      </w:pPr>
      <w:r w:rsidRPr="00536B2F">
        <w:rPr>
          <w:rFonts w:ascii="Times New Roman" w:hAnsi="Times New Roman"/>
          <w:sz w:val="24"/>
          <w:szCs w:val="24"/>
          <w:lang w:eastAsia="bg-BG"/>
        </w:rPr>
        <w:t>Angelov P. A.</w:t>
      </w:r>
      <w:r w:rsidR="006A373B" w:rsidRPr="00E21316">
        <w:rPr>
          <w:rFonts w:ascii="Times New Roman" w:hAnsi="Times New Roman"/>
          <w:sz w:val="24"/>
          <w:szCs w:val="24"/>
          <w:lang w:eastAsia="bg-BG"/>
        </w:rPr>
        <w:t xml:space="preserve"> </w:t>
      </w:r>
      <w:r w:rsidR="006A373B" w:rsidRPr="00E21316">
        <w:rPr>
          <w:rFonts w:ascii="Times New Roman" w:hAnsi="Times New Roman"/>
          <w:sz w:val="24"/>
          <w:szCs w:val="24"/>
          <w:lang w:val="en-US" w:eastAsia="bg-BG"/>
        </w:rPr>
        <w:t>(</w:t>
      </w:r>
      <w:r w:rsidR="006A373B" w:rsidRPr="00E21316">
        <w:rPr>
          <w:rFonts w:ascii="Times New Roman" w:hAnsi="Times New Roman"/>
          <w:sz w:val="24"/>
          <w:szCs w:val="24"/>
          <w:lang w:val="ru-RU" w:eastAsia="bg-BG"/>
        </w:rPr>
        <w:t>1980</w:t>
      </w:r>
      <w:r w:rsidR="006A373B" w:rsidRPr="00E21316">
        <w:rPr>
          <w:rFonts w:ascii="Times New Roman" w:hAnsi="Times New Roman"/>
          <w:sz w:val="24"/>
          <w:szCs w:val="24"/>
          <w:lang w:val="en-US" w:eastAsia="bg-BG"/>
        </w:rPr>
        <w:t>)</w:t>
      </w:r>
      <w:r w:rsidR="006A373B" w:rsidRPr="00E21316">
        <w:rPr>
          <w:rFonts w:ascii="Times New Roman" w:hAnsi="Times New Roman"/>
          <w:sz w:val="24"/>
          <w:szCs w:val="24"/>
          <w:lang w:val="ru-RU" w:eastAsia="bg-BG"/>
        </w:rPr>
        <w:t>.</w:t>
      </w:r>
      <w:r w:rsidR="006A373B" w:rsidRPr="00E21316">
        <w:rPr>
          <w:rFonts w:ascii="Times New Roman" w:hAnsi="Times New Roman"/>
          <w:sz w:val="24"/>
          <w:szCs w:val="24"/>
          <w:lang w:val="en-US" w:eastAsia="bg-BG"/>
        </w:rPr>
        <w:t xml:space="preserve"> </w:t>
      </w:r>
      <w:r w:rsidRPr="00536B2F">
        <w:rPr>
          <w:rFonts w:ascii="Times New Roman" w:hAnsi="Times New Roman"/>
          <w:sz w:val="24"/>
          <w:szCs w:val="24"/>
          <w:lang w:eastAsia="bg-BG"/>
        </w:rPr>
        <w:t>Fauna of Bulgaria</w:t>
      </w:r>
      <w:r w:rsidR="006A373B" w:rsidRPr="00E21316">
        <w:rPr>
          <w:rFonts w:ascii="Times New Roman" w:hAnsi="Times New Roman"/>
          <w:sz w:val="24"/>
          <w:szCs w:val="24"/>
          <w:lang w:eastAsia="bg-BG"/>
        </w:rPr>
        <w:t xml:space="preserve">, </w:t>
      </w:r>
      <w:r>
        <w:rPr>
          <w:rFonts w:ascii="Times New Roman" w:hAnsi="Times New Roman"/>
          <w:sz w:val="24"/>
          <w:szCs w:val="24"/>
          <w:lang w:val="en-US" w:eastAsia="bg-BG"/>
        </w:rPr>
        <w:t>vol.</w:t>
      </w:r>
      <w:r w:rsidRPr="00E21316">
        <w:rPr>
          <w:rFonts w:ascii="Times New Roman" w:hAnsi="Times New Roman"/>
          <w:sz w:val="24"/>
          <w:szCs w:val="24"/>
          <w:lang w:eastAsia="bg-BG"/>
        </w:rPr>
        <w:t xml:space="preserve"> </w:t>
      </w:r>
      <w:r w:rsidR="006A373B" w:rsidRPr="00E21316">
        <w:rPr>
          <w:rFonts w:ascii="Times New Roman" w:hAnsi="Times New Roman"/>
          <w:sz w:val="24"/>
          <w:szCs w:val="24"/>
          <w:lang w:eastAsia="bg-BG"/>
        </w:rPr>
        <w:t xml:space="preserve">10. Coleoptera, Curculionidae. </w:t>
      </w:r>
      <w:r w:rsidR="006A373B" w:rsidRPr="00E21316">
        <w:rPr>
          <w:rFonts w:ascii="Times New Roman" w:hAnsi="Times New Roman"/>
          <w:sz w:val="24"/>
          <w:szCs w:val="24"/>
          <w:lang w:val="en-US" w:eastAsia="bg-BG"/>
        </w:rPr>
        <w:t xml:space="preserve">IV </w:t>
      </w:r>
      <w:r>
        <w:rPr>
          <w:rFonts w:ascii="Times New Roman" w:hAnsi="Times New Roman"/>
          <w:sz w:val="24"/>
          <w:szCs w:val="24"/>
          <w:lang w:val="en-US" w:eastAsia="bg-BG"/>
        </w:rPr>
        <w:t>part</w:t>
      </w:r>
      <w:r w:rsidR="006A373B" w:rsidRPr="00E21316">
        <w:rPr>
          <w:rFonts w:ascii="Times New Roman" w:hAnsi="Times New Roman"/>
          <w:sz w:val="24"/>
          <w:szCs w:val="24"/>
          <w:lang w:eastAsia="bg-BG"/>
        </w:rPr>
        <w:t xml:space="preserve">. </w:t>
      </w:r>
      <w:r w:rsidR="006A373B" w:rsidRPr="00E21316">
        <w:rPr>
          <w:rFonts w:ascii="Times New Roman" w:hAnsi="Times New Roman"/>
          <w:sz w:val="24"/>
          <w:szCs w:val="24"/>
          <w:lang w:val="en-US" w:eastAsia="bg-BG"/>
        </w:rPr>
        <w:t>Calandrinae</w:t>
      </w:r>
      <w:r w:rsidR="006A373B" w:rsidRPr="00E21316">
        <w:rPr>
          <w:rFonts w:ascii="Times New Roman" w:hAnsi="Times New Roman"/>
          <w:sz w:val="24"/>
          <w:szCs w:val="24"/>
          <w:lang w:eastAsia="bg-BG"/>
        </w:rPr>
        <w:t xml:space="preserve">. </w:t>
      </w:r>
      <w:r w:rsidR="006A373B" w:rsidRPr="00E21316">
        <w:rPr>
          <w:rFonts w:ascii="Times New Roman" w:hAnsi="Times New Roman"/>
          <w:sz w:val="24"/>
          <w:szCs w:val="24"/>
          <w:lang w:val="en-US" w:eastAsia="bg-BG"/>
        </w:rPr>
        <w:t>2.</w:t>
      </w:r>
      <w:r w:rsidRPr="00536B2F">
        <w:t xml:space="preserve"> </w:t>
      </w:r>
      <w:r w:rsidRPr="00536B2F">
        <w:rPr>
          <w:rFonts w:ascii="Times New Roman" w:hAnsi="Times New Roman"/>
          <w:sz w:val="24"/>
          <w:szCs w:val="24"/>
          <w:lang w:val="en-US" w:eastAsia="bg-BG"/>
        </w:rPr>
        <w:t>Bulgarian Academy of Sciences, Sofia</w:t>
      </w:r>
      <w:r w:rsidR="006A373B" w:rsidRPr="00E21316">
        <w:rPr>
          <w:rFonts w:ascii="Times New Roman" w:hAnsi="Times New Roman"/>
          <w:sz w:val="24"/>
          <w:szCs w:val="24"/>
          <w:lang w:eastAsia="bg-BG"/>
        </w:rPr>
        <w:t xml:space="preserve">, </w:t>
      </w:r>
      <w:r w:rsidR="006A373B" w:rsidRPr="00E21316">
        <w:rPr>
          <w:rFonts w:ascii="Times New Roman" w:hAnsi="Times New Roman"/>
          <w:sz w:val="24"/>
          <w:szCs w:val="24"/>
          <w:lang w:val="en-US" w:eastAsia="bg-BG"/>
        </w:rPr>
        <w:t>301</w:t>
      </w:r>
      <w:r w:rsidR="006A373B" w:rsidRPr="00E21316">
        <w:rPr>
          <w:rFonts w:ascii="Times New Roman" w:hAnsi="Times New Roman"/>
          <w:sz w:val="24"/>
          <w:szCs w:val="24"/>
          <w:lang w:eastAsia="bg-BG"/>
        </w:rPr>
        <w:t xml:space="preserve"> </w:t>
      </w:r>
      <w:r>
        <w:rPr>
          <w:rFonts w:ascii="Times New Roman" w:hAnsi="Times New Roman"/>
          <w:sz w:val="24"/>
          <w:szCs w:val="24"/>
          <w:lang w:val="en-US" w:eastAsia="bg-BG"/>
        </w:rPr>
        <w:t>pp</w:t>
      </w:r>
      <w:r w:rsidR="006A373B" w:rsidRPr="00E21316">
        <w:rPr>
          <w:rFonts w:ascii="Times New Roman" w:hAnsi="Times New Roman"/>
          <w:sz w:val="24"/>
          <w:szCs w:val="24"/>
          <w:lang w:eastAsia="bg-BG"/>
        </w:rPr>
        <w:t>.</w:t>
      </w:r>
      <w:r w:rsidR="007B6012">
        <w:rPr>
          <w:rFonts w:ascii="Times New Roman" w:hAnsi="Times New Roman"/>
          <w:sz w:val="24"/>
          <w:szCs w:val="24"/>
          <w:lang w:val="en-US" w:eastAsia="bg-BG"/>
        </w:rPr>
        <w:t xml:space="preserve"> (in Bulgarian)</w:t>
      </w:r>
    </w:p>
    <w:p w:rsidR="006A373B" w:rsidRPr="00E21316" w:rsidRDefault="00A1676C" w:rsidP="006A373B">
      <w:pPr>
        <w:spacing w:line="240" w:lineRule="auto"/>
        <w:ind w:left="567" w:hanging="567"/>
        <w:rPr>
          <w:rFonts w:ascii="Times New Roman" w:hAnsi="Times New Roman"/>
          <w:sz w:val="24"/>
          <w:szCs w:val="24"/>
          <w:lang w:eastAsia="bg-BG"/>
        </w:rPr>
      </w:pPr>
      <w:r w:rsidRPr="00A1676C">
        <w:rPr>
          <w:rFonts w:ascii="Times New Roman" w:hAnsi="Times New Roman"/>
          <w:sz w:val="24"/>
          <w:szCs w:val="24"/>
          <w:lang w:eastAsia="bg-BG"/>
        </w:rPr>
        <w:t xml:space="preserve">BFSA. (2017). Order No. RD 11-536/21.03.2017 on setting </w:t>
      </w:r>
      <w:r w:rsidR="00673373" w:rsidRPr="00673373">
        <w:rPr>
          <w:rFonts w:ascii="Times New Roman" w:hAnsi="Times New Roman"/>
          <w:sz w:val="24"/>
          <w:szCs w:val="24"/>
          <w:lang w:eastAsia="bg-BG"/>
        </w:rPr>
        <w:t>economic injury thresholds</w:t>
      </w:r>
      <w:r w:rsidRPr="00A1676C">
        <w:rPr>
          <w:rFonts w:ascii="Times New Roman" w:hAnsi="Times New Roman"/>
          <w:sz w:val="24"/>
          <w:szCs w:val="24"/>
          <w:lang w:eastAsia="bg-BG"/>
        </w:rPr>
        <w:t xml:space="preserve"> for economically important pests of agricultural crops. Sofia</w:t>
      </w:r>
      <w:r w:rsidR="00A21771">
        <w:rPr>
          <w:rFonts w:ascii="Times New Roman" w:hAnsi="Times New Roman"/>
          <w:sz w:val="24"/>
          <w:szCs w:val="24"/>
          <w:lang w:val="en-US" w:eastAsia="bg-BG"/>
        </w:rPr>
        <w:t xml:space="preserve">, </w:t>
      </w:r>
      <w:r w:rsidRPr="00A1676C">
        <w:rPr>
          <w:rFonts w:ascii="Times New Roman" w:hAnsi="Times New Roman"/>
          <w:sz w:val="24"/>
          <w:szCs w:val="24"/>
          <w:lang w:eastAsia="bg-BG"/>
        </w:rPr>
        <w:t>Executive Director of BFSA</w:t>
      </w:r>
      <w:r w:rsidR="006A373B" w:rsidRPr="00E21316">
        <w:rPr>
          <w:rFonts w:ascii="Times New Roman" w:hAnsi="Times New Roman"/>
          <w:sz w:val="24"/>
          <w:szCs w:val="24"/>
          <w:lang w:eastAsia="bg-BG"/>
        </w:rPr>
        <w:t>.</w:t>
      </w:r>
    </w:p>
    <w:p w:rsidR="006A373B" w:rsidRPr="00E21316" w:rsidRDefault="00695EAF" w:rsidP="006A373B">
      <w:pPr>
        <w:spacing w:line="240" w:lineRule="auto"/>
        <w:ind w:left="567" w:hanging="567"/>
        <w:rPr>
          <w:rFonts w:ascii="Times New Roman" w:hAnsi="Times New Roman"/>
          <w:sz w:val="24"/>
          <w:szCs w:val="24"/>
          <w:lang w:val="en-US" w:eastAsia="bg-BG"/>
        </w:rPr>
      </w:pPr>
      <w:r w:rsidRPr="00695EAF">
        <w:rPr>
          <w:rFonts w:ascii="Times New Roman" w:hAnsi="Times New Roman"/>
          <w:sz w:val="24"/>
          <w:szCs w:val="24"/>
          <w:lang w:eastAsia="bg-BG"/>
        </w:rPr>
        <w:t>Directive 2009/128/EC of the European Parliament and of the Council of 21 October 2009 establishing a framework for Community action to achieve the sustainable use of pesticides</w:t>
      </w:r>
      <w:r w:rsidR="006A373B" w:rsidRPr="00E21316">
        <w:rPr>
          <w:rFonts w:ascii="Times New Roman" w:hAnsi="Times New Roman"/>
          <w:sz w:val="24"/>
          <w:szCs w:val="24"/>
          <w:lang w:val="en-US" w:eastAsia="bg-BG"/>
        </w:rPr>
        <w:t>.</w:t>
      </w:r>
      <w:r w:rsidR="00891CB6">
        <w:rPr>
          <w:rFonts w:ascii="Times New Roman" w:hAnsi="Times New Roman"/>
          <w:sz w:val="24"/>
          <w:szCs w:val="24"/>
          <w:lang w:val="en-US" w:eastAsia="bg-BG"/>
        </w:rPr>
        <w:t xml:space="preserve"> </w:t>
      </w:r>
      <w:r w:rsidR="00891CB6" w:rsidRPr="00891CB6">
        <w:rPr>
          <w:rFonts w:ascii="Times New Roman" w:hAnsi="Times New Roman"/>
          <w:sz w:val="24"/>
          <w:szCs w:val="24"/>
          <w:lang w:val="en-US" w:eastAsia="bg-BG"/>
        </w:rPr>
        <w:t>(in Bulgarian)</w:t>
      </w:r>
    </w:p>
    <w:p w:rsidR="006A373B" w:rsidRPr="00E21316" w:rsidRDefault="006A373B" w:rsidP="006A373B">
      <w:pPr>
        <w:spacing w:line="240" w:lineRule="auto"/>
        <w:ind w:left="567" w:hanging="567"/>
        <w:rPr>
          <w:rFonts w:ascii="Times New Roman" w:hAnsi="Times New Roman"/>
          <w:sz w:val="24"/>
          <w:szCs w:val="24"/>
          <w:lang w:val="en-US" w:eastAsia="bg-BG"/>
        </w:rPr>
      </w:pPr>
      <w:r w:rsidRPr="00E21316">
        <w:rPr>
          <w:rFonts w:ascii="Times New Roman" w:hAnsi="Times New Roman"/>
          <w:sz w:val="24"/>
          <w:szCs w:val="24"/>
          <w:lang w:eastAsia="bg-BG"/>
        </w:rPr>
        <w:lastRenderedPageBreak/>
        <w:t xml:space="preserve">El-Sayed, A. M. (2026). </w:t>
      </w:r>
      <w:r w:rsidRPr="00E21316">
        <w:rPr>
          <w:rFonts w:ascii="Times New Roman" w:hAnsi="Times New Roman"/>
          <w:i/>
          <w:iCs/>
          <w:sz w:val="24"/>
          <w:szCs w:val="24"/>
          <w:lang w:eastAsia="bg-BG"/>
        </w:rPr>
        <w:t>The Pherobase: Database of Pheromones and Semiochemicals</w:t>
      </w:r>
      <w:r w:rsidRPr="00E21316">
        <w:rPr>
          <w:rFonts w:ascii="Times New Roman" w:hAnsi="Times New Roman"/>
          <w:sz w:val="24"/>
          <w:szCs w:val="24"/>
          <w:lang w:eastAsia="bg-BG"/>
        </w:rPr>
        <w:t xml:space="preserve">. http://www.pherobase.com. </w:t>
      </w:r>
      <w:r w:rsidRPr="00E21316">
        <w:rPr>
          <w:rFonts w:ascii="Times New Roman" w:hAnsi="Times New Roman"/>
          <w:sz w:val="24"/>
          <w:szCs w:val="24"/>
          <w:lang w:val="en-US" w:eastAsia="bg-BG"/>
        </w:rPr>
        <w:t>[10.01.2026]</w:t>
      </w:r>
    </w:p>
    <w:p w:rsidR="006A373B" w:rsidRPr="00E21316" w:rsidRDefault="006A373B" w:rsidP="006A373B">
      <w:pPr>
        <w:spacing w:line="240" w:lineRule="auto"/>
        <w:ind w:left="567" w:hanging="567"/>
        <w:rPr>
          <w:rFonts w:ascii="Times New Roman" w:hAnsi="Times New Roman"/>
          <w:sz w:val="24"/>
          <w:szCs w:val="24"/>
          <w:lang w:eastAsia="bg-BG"/>
        </w:rPr>
      </w:pPr>
      <w:r w:rsidRPr="00E21316">
        <w:rPr>
          <w:rFonts w:ascii="Times New Roman" w:hAnsi="Times New Roman"/>
          <w:sz w:val="24"/>
          <w:szCs w:val="24"/>
          <w:lang w:eastAsia="bg-BG"/>
        </w:rPr>
        <w:t xml:space="preserve">Genov, N., Mitrović, J., Genov, M., Duduk, B. (2014). First report of corn reddening caused by 'Candidatus </w:t>
      </w:r>
      <w:r w:rsidRPr="00E21316">
        <w:rPr>
          <w:rFonts w:ascii="Times New Roman" w:hAnsi="Times New Roman"/>
          <w:i/>
          <w:iCs/>
          <w:sz w:val="24"/>
          <w:szCs w:val="24"/>
          <w:lang w:eastAsia="bg-BG"/>
        </w:rPr>
        <w:t>Phytoplasma solani</w:t>
      </w:r>
      <w:r w:rsidRPr="00E21316">
        <w:rPr>
          <w:rFonts w:ascii="Times New Roman" w:hAnsi="Times New Roman"/>
          <w:sz w:val="24"/>
          <w:szCs w:val="24"/>
          <w:lang w:eastAsia="bg-BG"/>
        </w:rPr>
        <w:t xml:space="preserve">' in Bulgaria. </w:t>
      </w:r>
      <w:r w:rsidRPr="00E21316">
        <w:rPr>
          <w:rFonts w:ascii="Times New Roman" w:hAnsi="Times New Roman"/>
          <w:i/>
          <w:iCs/>
          <w:sz w:val="24"/>
          <w:szCs w:val="24"/>
          <w:lang w:eastAsia="bg-BG"/>
        </w:rPr>
        <w:t>Plant Disease</w:t>
      </w:r>
      <w:r w:rsidRPr="00E21316">
        <w:rPr>
          <w:rFonts w:ascii="Times New Roman" w:hAnsi="Times New Roman"/>
          <w:sz w:val="24"/>
          <w:szCs w:val="24"/>
          <w:lang w:eastAsia="bg-BG"/>
        </w:rPr>
        <w:t>, 98 (7): 991.</w:t>
      </w:r>
    </w:p>
    <w:p w:rsidR="00CF1A3C" w:rsidRDefault="00CF1A3C" w:rsidP="006A373B">
      <w:pPr>
        <w:spacing w:line="240" w:lineRule="auto"/>
        <w:ind w:left="567" w:hanging="567"/>
        <w:rPr>
          <w:rFonts w:ascii="Times New Roman" w:hAnsi="Times New Roman"/>
          <w:sz w:val="24"/>
          <w:szCs w:val="24"/>
          <w:lang w:val="en-US" w:eastAsia="bg-BG"/>
        </w:rPr>
      </w:pPr>
      <w:r w:rsidRPr="00CF1A3C">
        <w:rPr>
          <w:rFonts w:ascii="Times New Roman" w:hAnsi="Times New Roman"/>
          <w:sz w:val="24"/>
          <w:szCs w:val="24"/>
          <w:lang w:val="en-US" w:eastAsia="bg-BG"/>
        </w:rPr>
        <w:t xml:space="preserve">Goodman, M. M., Galinat, W. C. (1988). The history and evolution of Maize. </w:t>
      </w:r>
      <w:r w:rsidRPr="00CF1A3C">
        <w:rPr>
          <w:rFonts w:ascii="Times New Roman" w:hAnsi="Times New Roman"/>
          <w:i/>
          <w:sz w:val="24"/>
          <w:szCs w:val="24"/>
          <w:lang w:val="en-US" w:eastAsia="bg-BG"/>
        </w:rPr>
        <w:t>Critical Reviews in Plant Sciences</w:t>
      </w:r>
      <w:r w:rsidRPr="00CF1A3C">
        <w:rPr>
          <w:rFonts w:ascii="Times New Roman" w:hAnsi="Times New Roman"/>
          <w:sz w:val="24"/>
          <w:szCs w:val="24"/>
          <w:lang w:val="en-US" w:eastAsia="bg-BG"/>
        </w:rPr>
        <w:t>, 7 (3): 197–220.</w:t>
      </w:r>
    </w:p>
    <w:p w:rsidR="00891CB6" w:rsidRPr="005D370E" w:rsidRDefault="00891CB6" w:rsidP="00891CB6">
      <w:pPr>
        <w:spacing w:line="240" w:lineRule="auto"/>
        <w:ind w:left="567" w:hanging="567"/>
        <w:rPr>
          <w:rFonts w:ascii="Times New Roman" w:hAnsi="Times New Roman"/>
          <w:sz w:val="24"/>
          <w:szCs w:val="24"/>
          <w:lang w:val="en-US" w:eastAsia="bg-BG"/>
        </w:rPr>
      </w:pPr>
      <w:r>
        <w:rPr>
          <w:rFonts w:ascii="Times New Roman" w:hAnsi="Times New Roman"/>
          <w:sz w:val="24"/>
          <w:szCs w:val="24"/>
          <w:lang w:val="en-US" w:eastAsia="bg-BG"/>
        </w:rPr>
        <w:t>Gruev</w:t>
      </w:r>
      <w:r w:rsidRPr="00E21316">
        <w:rPr>
          <w:rFonts w:ascii="Times New Roman" w:hAnsi="Times New Roman"/>
          <w:sz w:val="24"/>
          <w:szCs w:val="24"/>
          <w:lang w:eastAsia="bg-BG"/>
        </w:rPr>
        <w:t xml:space="preserve">, </w:t>
      </w:r>
      <w:r>
        <w:rPr>
          <w:rFonts w:ascii="Times New Roman" w:hAnsi="Times New Roman"/>
          <w:sz w:val="24"/>
          <w:szCs w:val="24"/>
          <w:lang w:val="en-US" w:eastAsia="bg-BG"/>
        </w:rPr>
        <w:t>B</w:t>
      </w:r>
      <w:r w:rsidRPr="00E21316">
        <w:rPr>
          <w:rFonts w:ascii="Times New Roman" w:hAnsi="Times New Roman"/>
          <w:sz w:val="24"/>
          <w:szCs w:val="24"/>
          <w:lang w:eastAsia="bg-BG"/>
        </w:rPr>
        <w:t xml:space="preserve">., </w:t>
      </w:r>
      <w:r>
        <w:rPr>
          <w:rFonts w:ascii="Times New Roman" w:hAnsi="Times New Roman"/>
          <w:sz w:val="24"/>
          <w:szCs w:val="24"/>
          <w:lang w:val="en-US" w:eastAsia="bg-BG"/>
        </w:rPr>
        <w:t>Tomov</w:t>
      </w:r>
      <w:r w:rsidRPr="00E21316">
        <w:rPr>
          <w:rFonts w:ascii="Times New Roman" w:hAnsi="Times New Roman"/>
          <w:sz w:val="24"/>
          <w:szCs w:val="24"/>
          <w:lang w:eastAsia="bg-BG"/>
        </w:rPr>
        <w:t xml:space="preserve">, </w:t>
      </w:r>
      <w:r>
        <w:rPr>
          <w:rFonts w:ascii="Times New Roman" w:hAnsi="Times New Roman"/>
          <w:sz w:val="24"/>
          <w:szCs w:val="24"/>
          <w:lang w:val="en-US" w:eastAsia="bg-BG"/>
        </w:rPr>
        <w:t>V</w:t>
      </w:r>
      <w:r w:rsidRPr="00E21316">
        <w:rPr>
          <w:rFonts w:ascii="Times New Roman" w:hAnsi="Times New Roman"/>
          <w:sz w:val="24"/>
          <w:szCs w:val="24"/>
          <w:lang w:eastAsia="bg-BG"/>
        </w:rPr>
        <w:t xml:space="preserve">. (1986). </w:t>
      </w:r>
      <w:r w:rsidRPr="005D370E">
        <w:rPr>
          <w:rFonts w:ascii="Times New Roman" w:hAnsi="Times New Roman"/>
          <w:iCs/>
          <w:sz w:val="24"/>
          <w:szCs w:val="24"/>
          <w:lang w:eastAsia="bg-BG"/>
        </w:rPr>
        <w:t>Fauna of Bulgaria</w:t>
      </w:r>
      <w:r>
        <w:rPr>
          <w:rFonts w:ascii="Times New Roman" w:hAnsi="Times New Roman"/>
          <w:sz w:val="24"/>
          <w:szCs w:val="24"/>
          <w:lang w:val="en-US" w:eastAsia="bg-BG"/>
        </w:rPr>
        <w:t>,</w:t>
      </w:r>
      <w:r w:rsidRPr="00E21316">
        <w:rPr>
          <w:rFonts w:ascii="Times New Roman" w:hAnsi="Times New Roman"/>
          <w:sz w:val="24"/>
          <w:szCs w:val="24"/>
          <w:lang w:eastAsia="bg-BG"/>
        </w:rPr>
        <w:t xml:space="preserve"> </w:t>
      </w:r>
      <w:r>
        <w:rPr>
          <w:rFonts w:ascii="Times New Roman" w:hAnsi="Times New Roman"/>
          <w:sz w:val="24"/>
          <w:szCs w:val="24"/>
          <w:lang w:val="en-US" w:eastAsia="bg-BG"/>
        </w:rPr>
        <w:t>Vol.</w:t>
      </w:r>
      <w:r w:rsidRPr="00E21316">
        <w:rPr>
          <w:rFonts w:ascii="Times New Roman" w:hAnsi="Times New Roman"/>
          <w:sz w:val="24"/>
          <w:szCs w:val="24"/>
          <w:lang w:eastAsia="bg-BG"/>
        </w:rPr>
        <w:t xml:space="preserve"> 16: Coleoptera, </w:t>
      </w:r>
      <w:r w:rsidRPr="00E21316">
        <w:rPr>
          <w:rFonts w:ascii="Times New Roman" w:hAnsi="Times New Roman"/>
          <w:i/>
          <w:iCs/>
          <w:sz w:val="24"/>
          <w:szCs w:val="24"/>
          <w:lang w:eastAsia="bg-BG"/>
        </w:rPr>
        <w:t>Chrysomelidae</w:t>
      </w:r>
      <w:r w:rsidRPr="00E21316">
        <w:rPr>
          <w:rFonts w:ascii="Times New Roman" w:hAnsi="Times New Roman"/>
          <w:sz w:val="24"/>
          <w:szCs w:val="24"/>
          <w:lang w:eastAsia="bg-BG"/>
        </w:rPr>
        <w:t xml:space="preserve">. </w:t>
      </w:r>
      <w:r>
        <w:rPr>
          <w:rFonts w:ascii="Times New Roman" w:hAnsi="Times New Roman"/>
          <w:sz w:val="24"/>
          <w:szCs w:val="24"/>
          <w:lang w:val="en-US" w:eastAsia="bg-BG"/>
        </w:rPr>
        <w:t>Part</w:t>
      </w:r>
      <w:r w:rsidRPr="00E21316">
        <w:rPr>
          <w:rFonts w:ascii="Times New Roman" w:hAnsi="Times New Roman"/>
          <w:sz w:val="24"/>
          <w:szCs w:val="24"/>
          <w:lang w:eastAsia="bg-BG"/>
        </w:rPr>
        <w:t xml:space="preserve"> 2. </w:t>
      </w:r>
      <w:r w:rsidRPr="00CB4708">
        <w:rPr>
          <w:rFonts w:ascii="Times New Roman" w:hAnsi="Times New Roman"/>
          <w:sz w:val="24"/>
          <w:szCs w:val="24"/>
          <w:lang w:eastAsia="bg-BG"/>
        </w:rPr>
        <w:t>Bulgarian Academy of Sciences, Sofia,</w:t>
      </w:r>
      <w:r w:rsidRPr="00E21316">
        <w:rPr>
          <w:rFonts w:ascii="Times New Roman" w:hAnsi="Times New Roman"/>
          <w:sz w:val="24"/>
          <w:szCs w:val="24"/>
          <w:lang w:eastAsia="bg-BG"/>
        </w:rPr>
        <w:t xml:space="preserve">, 388 </w:t>
      </w:r>
      <w:r>
        <w:rPr>
          <w:rFonts w:ascii="Times New Roman" w:hAnsi="Times New Roman"/>
          <w:sz w:val="24"/>
          <w:szCs w:val="24"/>
          <w:lang w:val="en-US" w:eastAsia="bg-BG"/>
        </w:rPr>
        <w:t>pp</w:t>
      </w:r>
      <w:r w:rsidRPr="00E21316">
        <w:rPr>
          <w:rFonts w:ascii="Times New Roman" w:hAnsi="Times New Roman"/>
          <w:sz w:val="24"/>
          <w:szCs w:val="24"/>
          <w:lang w:eastAsia="bg-BG"/>
        </w:rPr>
        <w:t>.</w:t>
      </w:r>
      <w:r>
        <w:rPr>
          <w:rFonts w:ascii="Times New Roman" w:hAnsi="Times New Roman"/>
          <w:sz w:val="24"/>
          <w:szCs w:val="24"/>
          <w:lang w:val="en-US" w:eastAsia="bg-BG"/>
        </w:rPr>
        <w:t xml:space="preserve"> </w:t>
      </w:r>
      <w:r w:rsidRPr="00B06B15">
        <w:rPr>
          <w:rFonts w:ascii="Times New Roman" w:hAnsi="Times New Roman"/>
          <w:sz w:val="24"/>
          <w:szCs w:val="24"/>
          <w:lang w:val="en-US" w:eastAsia="bg-BG"/>
        </w:rPr>
        <w:t>(in Bulgarian)</w:t>
      </w:r>
    </w:p>
    <w:p w:rsidR="006A373B" w:rsidRPr="00E21316" w:rsidRDefault="006A373B" w:rsidP="006A373B">
      <w:pPr>
        <w:spacing w:line="240" w:lineRule="auto"/>
        <w:ind w:left="567" w:hanging="567"/>
        <w:rPr>
          <w:rFonts w:ascii="Times New Roman" w:hAnsi="Times New Roman"/>
          <w:sz w:val="24"/>
          <w:szCs w:val="24"/>
          <w:lang w:eastAsia="bg-BG"/>
        </w:rPr>
      </w:pPr>
      <w:r w:rsidRPr="00E21316">
        <w:rPr>
          <w:rFonts w:ascii="Times New Roman" w:hAnsi="Times New Roman"/>
          <w:sz w:val="24"/>
          <w:szCs w:val="24"/>
          <w:lang w:eastAsia="bg-BG"/>
        </w:rPr>
        <w:t>Hoxie, R. P., Wellso, S. G. (1974). Cereal leaf beetle instars and sex, defined by larval head capsule widths. Annals of the Entomological Society of America, 67 (2): 183–186.</w:t>
      </w:r>
    </w:p>
    <w:p w:rsidR="006A373B" w:rsidRPr="00E21316" w:rsidRDefault="006A373B" w:rsidP="006A373B">
      <w:pPr>
        <w:spacing w:line="240" w:lineRule="auto"/>
        <w:ind w:left="567" w:hanging="567"/>
        <w:rPr>
          <w:rFonts w:ascii="Times New Roman" w:hAnsi="Times New Roman"/>
          <w:sz w:val="24"/>
          <w:szCs w:val="24"/>
          <w:lang w:eastAsia="bg-BG"/>
        </w:rPr>
      </w:pPr>
      <w:r w:rsidRPr="00E21316">
        <w:rPr>
          <w:rFonts w:ascii="Times New Roman" w:hAnsi="Times New Roman"/>
          <w:sz w:val="24"/>
          <w:szCs w:val="24"/>
          <w:lang w:eastAsia="bg-BG"/>
        </w:rPr>
        <w:t xml:space="preserve">Ivanova, I. (2002a). The first occurrence of </w:t>
      </w:r>
      <w:r w:rsidRPr="00E21316">
        <w:rPr>
          <w:rFonts w:ascii="Times New Roman" w:hAnsi="Times New Roman"/>
          <w:i/>
          <w:iCs/>
          <w:sz w:val="24"/>
          <w:szCs w:val="24"/>
          <w:lang w:eastAsia="bg-BG"/>
        </w:rPr>
        <w:t>Diabrotica virgifera virgifera</w:t>
      </w:r>
      <w:r w:rsidRPr="00E21316">
        <w:rPr>
          <w:rFonts w:ascii="Times New Roman" w:hAnsi="Times New Roman"/>
          <w:sz w:val="24"/>
          <w:szCs w:val="24"/>
          <w:lang w:eastAsia="bg-BG"/>
        </w:rPr>
        <w:t xml:space="preserve"> in Bulgaria. </w:t>
      </w:r>
      <w:r w:rsidRPr="00E21316">
        <w:rPr>
          <w:rFonts w:ascii="Times New Roman" w:hAnsi="Times New Roman"/>
          <w:i/>
          <w:iCs/>
          <w:sz w:val="24"/>
          <w:szCs w:val="24"/>
          <w:lang w:eastAsia="bg-BG"/>
        </w:rPr>
        <w:t>Acta Phytopathologica et Entomologica Hungarica</w:t>
      </w:r>
      <w:r w:rsidRPr="00E21316">
        <w:rPr>
          <w:rFonts w:ascii="Times New Roman" w:hAnsi="Times New Roman"/>
          <w:sz w:val="24"/>
          <w:szCs w:val="24"/>
          <w:lang w:eastAsia="bg-BG"/>
        </w:rPr>
        <w:t>, 37 (1–3): 155–157.</w:t>
      </w:r>
    </w:p>
    <w:p w:rsidR="006A373B" w:rsidRPr="00E21316" w:rsidRDefault="006A373B" w:rsidP="006A373B">
      <w:pPr>
        <w:spacing w:line="240" w:lineRule="auto"/>
        <w:ind w:left="567" w:hanging="567"/>
        <w:rPr>
          <w:rFonts w:ascii="Times New Roman" w:hAnsi="Times New Roman"/>
          <w:sz w:val="24"/>
          <w:szCs w:val="24"/>
          <w:lang w:val="en-US" w:eastAsia="bg-BG"/>
        </w:rPr>
      </w:pPr>
      <w:r w:rsidRPr="00E21316">
        <w:rPr>
          <w:rFonts w:ascii="Times New Roman" w:hAnsi="Times New Roman"/>
          <w:sz w:val="24"/>
          <w:szCs w:val="24"/>
          <w:lang w:eastAsia="bg-BG"/>
        </w:rPr>
        <w:t xml:space="preserve">Machado, A. B., Silva, J. R., Oliveira, M. P. (2024). Phytotoxicity and growth of crop plants under different herbicide treatments. </w:t>
      </w:r>
      <w:r w:rsidRPr="00E21316">
        <w:rPr>
          <w:rFonts w:ascii="Times New Roman" w:hAnsi="Times New Roman"/>
          <w:i/>
          <w:iCs/>
          <w:sz w:val="24"/>
          <w:szCs w:val="24"/>
          <w:lang w:eastAsia="bg-BG"/>
        </w:rPr>
        <w:t>Journal of Agricultural Science</w:t>
      </w:r>
      <w:r w:rsidRPr="00E21316">
        <w:rPr>
          <w:rFonts w:ascii="Times New Roman" w:hAnsi="Times New Roman"/>
          <w:sz w:val="24"/>
          <w:szCs w:val="24"/>
          <w:lang w:eastAsia="bg-BG"/>
        </w:rPr>
        <w:t>, 16 (2): 45–58.</w:t>
      </w:r>
    </w:p>
    <w:p w:rsidR="006A373B" w:rsidRPr="00E21316" w:rsidRDefault="006A373B" w:rsidP="006A373B">
      <w:pPr>
        <w:spacing w:line="240" w:lineRule="auto"/>
        <w:ind w:left="567" w:hanging="567"/>
        <w:rPr>
          <w:rFonts w:ascii="Times New Roman" w:hAnsi="Times New Roman"/>
          <w:sz w:val="24"/>
          <w:szCs w:val="24"/>
          <w:lang w:eastAsia="bg-BG"/>
        </w:rPr>
      </w:pPr>
      <w:r w:rsidRPr="00E21316">
        <w:rPr>
          <w:rFonts w:ascii="Times New Roman" w:hAnsi="Times New Roman"/>
          <w:sz w:val="24"/>
          <w:szCs w:val="24"/>
          <w:lang w:eastAsia="bg-BG"/>
        </w:rPr>
        <w:t xml:space="preserve">Ranum, P., Peña-Rosas, J. P., Garcia-Casal, M. N. (2014). Global maize production, utilization, and consumption. </w:t>
      </w:r>
      <w:r w:rsidRPr="00E21316">
        <w:rPr>
          <w:rFonts w:ascii="Times New Roman" w:hAnsi="Times New Roman"/>
          <w:i/>
          <w:iCs/>
          <w:sz w:val="24"/>
          <w:szCs w:val="24"/>
          <w:lang w:eastAsia="bg-BG"/>
        </w:rPr>
        <w:t>Annals of the New York Academy of Sciences</w:t>
      </w:r>
      <w:r w:rsidRPr="00E21316">
        <w:rPr>
          <w:rFonts w:ascii="Times New Roman" w:hAnsi="Times New Roman"/>
          <w:sz w:val="24"/>
          <w:szCs w:val="24"/>
          <w:lang w:eastAsia="bg-BG"/>
        </w:rPr>
        <w:t>, 1312 (1): 105–112.</w:t>
      </w:r>
    </w:p>
    <w:p w:rsidR="00891CB6" w:rsidRPr="00891CB6" w:rsidRDefault="00891CB6" w:rsidP="00891CB6">
      <w:pPr>
        <w:spacing w:line="240" w:lineRule="auto"/>
        <w:ind w:left="567" w:hanging="567"/>
        <w:rPr>
          <w:rFonts w:ascii="Times New Roman" w:hAnsi="Times New Roman"/>
          <w:sz w:val="24"/>
          <w:szCs w:val="24"/>
          <w:lang w:val="en-US" w:eastAsia="bg-BG"/>
        </w:rPr>
      </w:pPr>
      <w:r w:rsidRPr="00695EAF">
        <w:rPr>
          <w:rFonts w:ascii="Times New Roman" w:hAnsi="Times New Roman"/>
          <w:sz w:val="24"/>
          <w:szCs w:val="24"/>
          <w:lang w:eastAsia="bg-BG"/>
        </w:rPr>
        <w:t>Regulation (EC) No 1107/2009 of the European Parliament and of the Council of 21 October 2009 concerning the placing of plant protection products on the market and repealing Council Directives 79/117/EEC and 91/414/EEC</w:t>
      </w:r>
      <w:r>
        <w:rPr>
          <w:rFonts w:ascii="Times New Roman" w:hAnsi="Times New Roman"/>
          <w:sz w:val="24"/>
          <w:szCs w:val="24"/>
          <w:lang w:val="en-US" w:eastAsia="bg-BG"/>
        </w:rPr>
        <w:t xml:space="preserve">. </w:t>
      </w:r>
      <w:r w:rsidRPr="00891CB6">
        <w:rPr>
          <w:rFonts w:ascii="Times New Roman" w:hAnsi="Times New Roman"/>
          <w:sz w:val="24"/>
          <w:szCs w:val="24"/>
          <w:lang w:val="en-US" w:eastAsia="bg-BG"/>
        </w:rPr>
        <w:t>(in Bulgarian)</w:t>
      </w:r>
    </w:p>
    <w:p w:rsidR="006A373B" w:rsidRPr="00E21316" w:rsidRDefault="006A373B" w:rsidP="006A373B">
      <w:pPr>
        <w:spacing w:line="240" w:lineRule="auto"/>
        <w:ind w:left="567" w:hanging="567"/>
        <w:rPr>
          <w:rFonts w:ascii="Times New Roman" w:hAnsi="Times New Roman"/>
          <w:sz w:val="24"/>
          <w:szCs w:val="24"/>
          <w:lang w:val="en-US" w:eastAsia="bg-BG"/>
        </w:rPr>
      </w:pPr>
      <w:r w:rsidRPr="00E21316">
        <w:rPr>
          <w:rFonts w:ascii="Times New Roman" w:hAnsi="Times New Roman"/>
          <w:sz w:val="24"/>
          <w:szCs w:val="24"/>
          <w:lang w:eastAsia="bg-BG"/>
        </w:rPr>
        <w:t xml:space="preserve">Shiferaw, B., Prasanna, B. M., Hellin, J., Bänziger, M. (2011). Crops that feed the world 6. Past successes and future challenges to the role played by maize in global food security. </w:t>
      </w:r>
      <w:r w:rsidRPr="00E21316">
        <w:rPr>
          <w:rFonts w:ascii="Times New Roman" w:hAnsi="Times New Roman"/>
          <w:i/>
          <w:iCs/>
          <w:sz w:val="24"/>
          <w:szCs w:val="24"/>
          <w:lang w:eastAsia="bg-BG"/>
        </w:rPr>
        <w:t>Food Security</w:t>
      </w:r>
      <w:r w:rsidRPr="00E21316">
        <w:rPr>
          <w:rFonts w:ascii="Times New Roman" w:hAnsi="Times New Roman"/>
          <w:sz w:val="24"/>
          <w:szCs w:val="24"/>
          <w:lang w:eastAsia="bg-BG"/>
        </w:rPr>
        <w:t>, 3 (3): 307–327.</w:t>
      </w:r>
    </w:p>
    <w:p w:rsidR="006A373B" w:rsidRPr="00E21316" w:rsidRDefault="006A373B" w:rsidP="006A373B">
      <w:pPr>
        <w:spacing w:line="240" w:lineRule="auto"/>
        <w:ind w:left="567" w:hanging="567"/>
        <w:rPr>
          <w:rFonts w:ascii="Times New Roman" w:hAnsi="Times New Roman"/>
          <w:sz w:val="24"/>
          <w:szCs w:val="24"/>
          <w:lang w:val="en-US" w:eastAsia="bg-BG"/>
        </w:rPr>
      </w:pPr>
      <w:r w:rsidRPr="00E21316">
        <w:rPr>
          <w:rFonts w:ascii="Times New Roman" w:hAnsi="Times New Roman"/>
          <w:sz w:val="24"/>
          <w:szCs w:val="24"/>
          <w:lang w:val="en-US" w:eastAsia="bg-BG"/>
        </w:rPr>
        <w:t xml:space="preserve">Simov, N. (2016). The invasive brown marmorated stink bug </w:t>
      </w:r>
      <w:r w:rsidRPr="00E21316">
        <w:rPr>
          <w:rFonts w:ascii="Times New Roman" w:hAnsi="Times New Roman"/>
          <w:i/>
          <w:sz w:val="24"/>
          <w:szCs w:val="24"/>
          <w:lang w:val="en-US" w:eastAsia="bg-BG"/>
        </w:rPr>
        <w:t>Halyomorpha halys</w:t>
      </w:r>
      <w:r w:rsidRPr="00E21316">
        <w:rPr>
          <w:rFonts w:ascii="Times New Roman" w:hAnsi="Times New Roman"/>
          <w:sz w:val="24"/>
          <w:szCs w:val="24"/>
          <w:lang w:val="en-US" w:eastAsia="bg-BG"/>
        </w:rPr>
        <w:t xml:space="preserve"> (Stål, 1855) (Heteroptera: Pentatomidae) already in Bulgaria. Ecologica Montenegrina, 9: 51–53.</w:t>
      </w:r>
    </w:p>
    <w:p w:rsidR="006A373B" w:rsidRPr="00E21316" w:rsidRDefault="006A373B" w:rsidP="006A373B">
      <w:pPr>
        <w:spacing w:line="240" w:lineRule="auto"/>
        <w:ind w:left="567" w:hanging="567"/>
        <w:rPr>
          <w:rFonts w:ascii="Times New Roman" w:hAnsi="Times New Roman"/>
          <w:sz w:val="24"/>
          <w:szCs w:val="24"/>
          <w:lang w:val="en-US" w:eastAsia="bg-BG"/>
        </w:rPr>
      </w:pPr>
      <w:r w:rsidRPr="00E21316">
        <w:rPr>
          <w:rFonts w:ascii="Times New Roman" w:hAnsi="Times New Roman"/>
          <w:sz w:val="24"/>
          <w:szCs w:val="24"/>
          <w:lang w:eastAsia="bg-BG"/>
        </w:rPr>
        <w:t xml:space="preserve">Szanyi, S., Barta, M., Velchev, D., Beshkov, S., Mumford, S., Todorov, I., Nagy, A., Varga, Z., Tóth, M., Toshova, T. (2025). First Report of a Migratory Pest, the Fall Armyworm, </w:t>
      </w:r>
      <w:r w:rsidRPr="00E21316">
        <w:rPr>
          <w:rFonts w:ascii="Times New Roman" w:hAnsi="Times New Roman"/>
          <w:i/>
          <w:iCs/>
          <w:sz w:val="24"/>
          <w:szCs w:val="24"/>
          <w:lang w:eastAsia="bg-BG"/>
        </w:rPr>
        <w:t>Spodoptera frugiperda</w:t>
      </w:r>
      <w:r w:rsidRPr="00E21316">
        <w:rPr>
          <w:rFonts w:ascii="Times New Roman" w:hAnsi="Times New Roman"/>
          <w:sz w:val="24"/>
          <w:szCs w:val="24"/>
          <w:lang w:eastAsia="bg-BG"/>
        </w:rPr>
        <w:t xml:space="preserve"> (J. E. Smith, 1797) (Lepidoptera, </w:t>
      </w:r>
      <w:r w:rsidRPr="00E21316">
        <w:rPr>
          <w:rFonts w:ascii="Times New Roman" w:hAnsi="Times New Roman"/>
          <w:i/>
          <w:iCs/>
          <w:sz w:val="24"/>
          <w:szCs w:val="24"/>
          <w:lang w:eastAsia="bg-BG"/>
        </w:rPr>
        <w:t>Noctuidae</w:t>
      </w:r>
      <w:r w:rsidRPr="00E21316">
        <w:rPr>
          <w:rFonts w:ascii="Times New Roman" w:hAnsi="Times New Roman"/>
          <w:sz w:val="24"/>
          <w:szCs w:val="24"/>
          <w:lang w:eastAsia="bg-BG"/>
        </w:rPr>
        <w:t xml:space="preserve">) from Bulgaria. </w:t>
      </w:r>
      <w:r w:rsidRPr="00E21316">
        <w:rPr>
          <w:rFonts w:ascii="Times New Roman" w:hAnsi="Times New Roman"/>
          <w:i/>
          <w:iCs/>
          <w:sz w:val="24"/>
          <w:szCs w:val="24"/>
          <w:lang w:eastAsia="bg-BG"/>
        </w:rPr>
        <w:t>Insects</w:t>
      </w:r>
      <w:r w:rsidRPr="00E21316">
        <w:rPr>
          <w:rFonts w:ascii="Times New Roman" w:hAnsi="Times New Roman"/>
          <w:sz w:val="24"/>
          <w:szCs w:val="24"/>
          <w:lang w:eastAsia="bg-BG"/>
        </w:rPr>
        <w:t>, 16 (2): 134.</w:t>
      </w:r>
    </w:p>
    <w:p w:rsidR="00B35949" w:rsidRPr="00653C98" w:rsidRDefault="00B35949" w:rsidP="00B35949">
      <w:pPr>
        <w:spacing w:line="240" w:lineRule="auto"/>
        <w:ind w:firstLine="0"/>
        <w:rPr>
          <w:rFonts w:ascii="Times New Roman" w:hAnsi="Times New Roman"/>
          <w:sz w:val="24"/>
          <w:szCs w:val="24"/>
          <w:lang w:val="en-US" w:eastAsia="bg-BG"/>
        </w:rPr>
      </w:pPr>
      <w:r>
        <w:rPr>
          <w:rFonts w:ascii="Times New Roman" w:hAnsi="Times New Roman"/>
          <w:sz w:val="24"/>
          <w:szCs w:val="24"/>
          <w:lang w:val="en-US" w:eastAsia="bg-BG"/>
        </w:rPr>
        <w:t>Tomov</w:t>
      </w:r>
      <w:r w:rsidRPr="00E21316">
        <w:rPr>
          <w:rFonts w:ascii="Times New Roman" w:hAnsi="Times New Roman"/>
          <w:sz w:val="24"/>
          <w:szCs w:val="24"/>
          <w:lang w:eastAsia="bg-BG"/>
        </w:rPr>
        <w:t xml:space="preserve">, Т., </w:t>
      </w:r>
      <w:r>
        <w:rPr>
          <w:rFonts w:ascii="Times New Roman" w:hAnsi="Times New Roman"/>
          <w:sz w:val="24"/>
          <w:szCs w:val="24"/>
          <w:lang w:val="en-US" w:eastAsia="bg-BG"/>
        </w:rPr>
        <w:t>Yordanov</w:t>
      </w:r>
      <w:r w:rsidRPr="00E21316">
        <w:rPr>
          <w:rFonts w:ascii="Times New Roman" w:hAnsi="Times New Roman"/>
          <w:sz w:val="24"/>
          <w:szCs w:val="24"/>
          <w:lang w:eastAsia="bg-BG"/>
        </w:rPr>
        <w:t xml:space="preserve">, </w:t>
      </w:r>
      <w:r>
        <w:rPr>
          <w:rFonts w:ascii="Times New Roman" w:hAnsi="Times New Roman"/>
          <w:sz w:val="24"/>
          <w:szCs w:val="24"/>
          <w:lang w:val="en-US" w:eastAsia="bg-BG"/>
        </w:rPr>
        <w:t>Y</w:t>
      </w:r>
      <w:r w:rsidRPr="00E21316">
        <w:rPr>
          <w:rFonts w:ascii="Times New Roman" w:hAnsi="Times New Roman"/>
          <w:sz w:val="24"/>
          <w:szCs w:val="24"/>
          <w:lang w:eastAsia="bg-BG"/>
        </w:rPr>
        <w:t xml:space="preserve">. (1988). </w:t>
      </w:r>
      <w:r>
        <w:rPr>
          <w:rFonts w:ascii="Times New Roman" w:hAnsi="Times New Roman"/>
          <w:sz w:val="24"/>
          <w:szCs w:val="24"/>
          <w:lang w:val="en-US" w:eastAsia="bg-BG"/>
        </w:rPr>
        <w:t>Maize in Bulgaria</w:t>
      </w:r>
      <w:r w:rsidRPr="00E21316">
        <w:rPr>
          <w:rFonts w:ascii="Times New Roman" w:hAnsi="Times New Roman"/>
          <w:sz w:val="24"/>
          <w:szCs w:val="24"/>
          <w:lang w:eastAsia="bg-BG"/>
        </w:rPr>
        <w:t xml:space="preserve">. </w:t>
      </w:r>
      <w:r>
        <w:rPr>
          <w:rFonts w:ascii="Times New Roman" w:hAnsi="Times New Roman"/>
          <w:sz w:val="24"/>
          <w:szCs w:val="24"/>
          <w:lang w:val="en-US" w:eastAsia="bg-BG"/>
        </w:rPr>
        <w:t>Zamizdat, Sofia</w:t>
      </w:r>
      <w:r w:rsidRPr="00E21316">
        <w:rPr>
          <w:rFonts w:ascii="Times New Roman" w:hAnsi="Times New Roman"/>
          <w:sz w:val="24"/>
          <w:szCs w:val="24"/>
          <w:lang w:eastAsia="bg-BG"/>
        </w:rPr>
        <w:t xml:space="preserve">, 315 </w:t>
      </w:r>
      <w:r>
        <w:rPr>
          <w:rFonts w:ascii="Times New Roman" w:hAnsi="Times New Roman"/>
          <w:sz w:val="24"/>
          <w:szCs w:val="24"/>
          <w:lang w:val="en-US" w:eastAsia="bg-BG"/>
        </w:rPr>
        <w:t>pp</w:t>
      </w:r>
      <w:r w:rsidRPr="00E21316">
        <w:rPr>
          <w:rFonts w:ascii="Times New Roman" w:hAnsi="Times New Roman"/>
          <w:sz w:val="24"/>
          <w:szCs w:val="24"/>
          <w:lang w:eastAsia="bg-BG"/>
        </w:rPr>
        <w:t>.</w:t>
      </w:r>
      <w:r>
        <w:rPr>
          <w:rFonts w:ascii="Times New Roman" w:hAnsi="Times New Roman"/>
          <w:sz w:val="24"/>
          <w:szCs w:val="24"/>
          <w:lang w:val="en-US" w:eastAsia="bg-BG"/>
        </w:rPr>
        <w:t xml:space="preserve"> </w:t>
      </w:r>
      <w:r w:rsidRPr="00891CB6">
        <w:rPr>
          <w:rFonts w:ascii="Times New Roman" w:hAnsi="Times New Roman"/>
          <w:sz w:val="24"/>
          <w:szCs w:val="24"/>
          <w:lang w:val="en-US" w:eastAsia="bg-BG"/>
        </w:rPr>
        <w:t>(in Bulgarian)</w:t>
      </w:r>
    </w:p>
    <w:p w:rsidR="006A373B" w:rsidRPr="00E21316" w:rsidRDefault="006A373B" w:rsidP="006A373B">
      <w:pPr>
        <w:spacing w:line="240" w:lineRule="auto"/>
        <w:ind w:left="567" w:hanging="567"/>
        <w:rPr>
          <w:rFonts w:ascii="Times New Roman" w:hAnsi="Times New Roman"/>
          <w:sz w:val="24"/>
          <w:szCs w:val="24"/>
          <w:lang w:val="en-US" w:eastAsia="bg-BG"/>
        </w:rPr>
      </w:pPr>
      <w:r w:rsidRPr="00E21316">
        <w:rPr>
          <w:rFonts w:ascii="Times New Roman" w:hAnsi="Times New Roman"/>
          <w:sz w:val="24"/>
          <w:szCs w:val="24"/>
          <w:lang w:eastAsia="bg-BG"/>
        </w:rPr>
        <w:t xml:space="preserve">Toshova, T., Velchev, D., Pilarska, D., Todorov, I., Draganova, S., Holuša, J., Takov, D. (2021). Effect of bioinsecticides on the grey maize weevil </w:t>
      </w:r>
      <w:r w:rsidRPr="00E21316">
        <w:rPr>
          <w:rFonts w:ascii="Times New Roman" w:hAnsi="Times New Roman"/>
          <w:i/>
          <w:iCs/>
          <w:sz w:val="24"/>
          <w:szCs w:val="24"/>
          <w:lang w:eastAsia="bg-BG"/>
        </w:rPr>
        <w:t>Tanymecus dilaticollis</w:t>
      </w:r>
      <w:r w:rsidRPr="00E21316">
        <w:rPr>
          <w:rFonts w:ascii="Times New Roman" w:hAnsi="Times New Roman"/>
          <w:sz w:val="24"/>
          <w:szCs w:val="24"/>
          <w:lang w:eastAsia="bg-BG"/>
        </w:rPr>
        <w:t xml:space="preserve">. </w:t>
      </w:r>
      <w:r w:rsidRPr="00E21316">
        <w:rPr>
          <w:rFonts w:ascii="Times New Roman" w:hAnsi="Times New Roman"/>
          <w:i/>
          <w:iCs/>
          <w:sz w:val="24"/>
          <w:szCs w:val="24"/>
          <w:lang w:eastAsia="bg-BG"/>
        </w:rPr>
        <w:t>Plant Protection Science</w:t>
      </w:r>
      <w:r w:rsidRPr="00E21316">
        <w:rPr>
          <w:rFonts w:ascii="Times New Roman" w:hAnsi="Times New Roman"/>
          <w:sz w:val="24"/>
          <w:szCs w:val="24"/>
          <w:lang w:eastAsia="bg-BG"/>
        </w:rPr>
        <w:t>, 57 (3): 240–247.</w:t>
      </w:r>
    </w:p>
    <w:p w:rsidR="006A373B" w:rsidRPr="00E21316" w:rsidRDefault="006A373B" w:rsidP="006A373B">
      <w:pPr>
        <w:spacing w:line="240" w:lineRule="auto"/>
        <w:ind w:left="567" w:hanging="567"/>
        <w:rPr>
          <w:rFonts w:ascii="Times New Roman" w:hAnsi="Times New Roman"/>
          <w:sz w:val="24"/>
          <w:szCs w:val="24"/>
          <w:lang w:val="en-US" w:eastAsia="bg-BG"/>
        </w:rPr>
      </w:pPr>
      <w:r w:rsidRPr="00E21316">
        <w:rPr>
          <w:rFonts w:ascii="Times New Roman" w:hAnsi="Times New Roman"/>
          <w:sz w:val="24"/>
          <w:szCs w:val="24"/>
          <w:lang w:val="en-US" w:eastAsia="bg-BG"/>
        </w:rPr>
        <w:t xml:space="preserve">Tóth, M., Sivcev, I., Ujvary, I., Tomasek, I., Imrei, Z., Horvath, P., Szarukan, I. (2003). Development of trapping tools for detection and monitoring of </w:t>
      </w:r>
      <w:r w:rsidRPr="00E21316">
        <w:rPr>
          <w:rFonts w:ascii="Times New Roman" w:hAnsi="Times New Roman"/>
          <w:i/>
          <w:sz w:val="24"/>
          <w:szCs w:val="24"/>
          <w:lang w:val="en-US" w:eastAsia="bg-BG"/>
        </w:rPr>
        <w:t>Diabrotica virgifera virgifera</w:t>
      </w:r>
      <w:r w:rsidRPr="00E21316">
        <w:rPr>
          <w:rFonts w:ascii="Times New Roman" w:hAnsi="Times New Roman"/>
          <w:sz w:val="24"/>
          <w:szCs w:val="24"/>
          <w:lang w:val="en-US" w:eastAsia="bg-BG"/>
        </w:rPr>
        <w:t xml:space="preserve"> in Europe. Acta Phytopathologica et Entomologica Hungarica, 38: 307–322</w:t>
      </w:r>
    </w:p>
    <w:p w:rsidR="006A373B" w:rsidRPr="00E21316" w:rsidRDefault="006A373B" w:rsidP="006A373B">
      <w:pPr>
        <w:spacing w:line="240" w:lineRule="auto"/>
        <w:ind w:left="567" w:hanging="567"/>
        <w:rPr>
          <w:rFonts w:ascii="Times New Roman" w:hAnsi="Times New Roman"/>
          <w:sz w:val="24"/>
          <w:szCs w:val="24"/>
          <w:lang w:val="en-US" w:eastAsia="bg-BG"/>
        </w:rPr>
      </w:pPr>
      <w:r w:rsidRPr="00E21316">
        <w:rPr>
          <w:rFonts w:ascii="Times New Roman" w:hAnsi="Times New Roman"/>
          <w:sz w:val="24"/>
          <w:szCs w:val="24"/>
          <w:lang w:val="en-US" w:eastAsia="bg-BG"/>
        </w:rPr>
        <w:t xml:space="preserve">Velchev, D. I., Takov, D. I., Todorov, I. A., Pilarska, D. K., Toshova, T. B. 2023. Effect of </w:t>
      </w:r>
      <w:r w:rsidRPr="00E21316">
        <w:rPr>
          <w:rFonts w:ascii="Times New Roman" w:hAnsi="Times New Roman"/>
          <w:i/>
          <w:sz w:val="24"/>
          <w:szCs w:val="24"/>
          <w:lang w:val="en-US" w:eastAsia="bg-BG"/>
        </w:rPr>
        <w:t>Beauveria bassiana</w:t>
      </w:r>
      <w:r w:rsidRPr="00E21316">
        <w:rPr>
          <w:rFonts w:ascii="Times New Roman" w:hAnsi="Times New Roman"/>
          <w:sz w:val="24"/>
          <w:szCs w:val="24"/>
          <w:lang w:val="en-US" w:eastAsia="bg-BG"/>
        </w:rPr>
        <w:t xml:space="preserve"> (strain ATCC 74040) on two leaf beetle (Coleoptera: Chrysomelidae) pests of maize under laboratory conditions. </w:t>
      </w:r>
      <w:r w:rsidRPr="00B35949">
        <w:rPr>
          <w:rFonts w:ascii="Times New Roman" w:hAnsi="Times New Roman"/>
          <w:i/>
          <w:sz w:val="24"/>
          <w:szCs w:val="24"/>
          <w:lang w:val="en-US" w:eastAsia="bg-BG"/>
        </w:rPr>
        <w:t>Journal of Central European Agriculture</w:t>
      </w:r>
      <w:r w:rsidRPr="00E21316">
        <w:rPr>
          <w:rFonts w:ascii="Times New Roman" w:hAnsi="Times New Roman"/>
          <w:sz w:val="24"/>
          <w:szCs w:val="24"/>
          <w:lang w:val="en-US" w:eastAsia="bg-BG"/>
        </w:rPr>
        <w:t>, 24, 2: 434-446.</w:t>
      </w:r>
    </w:p>
    <w:p w:rsidR="006A373B" w:rsidRPr="006A373B" w:rsidRDefault="006A373B" w:rsidP="006A373B">
      <w:pPr>
        <w:ind w:firstLine="567"/>
        <w:jc w:val="center"/>
        <w:rPr>
          <w:rFonts w:ascii="Times New Roman" w:hAnsi="Times New Roman"/>
          <w:b/>
          <w:sz w:val="28"/>
          <w:szCs w:val="28"/>
          <w:lang w:eastAsia="bg-BG"/>
        </w:rPr>
      </w:pPr>
    </w:p>
    <w:p w:rsidR="009064D1" w:rsidRDefault="009064D1" w:rsidP="0029246B">
      <w:pPr>
        <w:ind w:firstLine="567"/>
        <w:rPr>
          <w:rFonts w:ascii="Times New Roman" w:hAnsi="Times New Roman"/>
          <w:sz w:val="24"/>
          <w:szCs w:val="24"/>
          <w:lang w:eastAsia="bg-BG"/>
        </w:rPr>
      </w:pPr>
    </w:p>
    <w:p w:rsidR="000A6E3B" w:rsidRPr="0029246B" w:rsidRDefault="000A6E3B" w:rsidP="00287BCE">
      <w:pPr>
        <w:ind w:firstLine="0"/>
        <w:rPr>
          <w:rFonts w:ascii="Times New Roman" w:hAnsi="Times New Roman"/>
          <w:sz w:val="24"/>
          <w:szCs w:val="24"/>
          <w:lang w:eastAsia="bg-BG"/>
        </w:rPr>
      </w:pPr>
    </w:p>
    <w:p w:rsidR="00083A96" w:rsidRDefault="00083A96" w:rsidP="009064D1">
      <w:pPr>
        <w:pStyle w:val="ad"/>
        <w:spacing w:before="0" w:beforeAutospacing="0" w:after="0" w:afterAutospacing="0"/>
        <w:ind w:left="720"/>
        <w:jc w:val="center"/>
        <w:rPr>
          <w:b/>
          <w:kern w:val="24"/>
          <w:sz w:val="28"/>
          <w:szCs w:val="28"/>
          <w:lang w:val="en-US"/>
        </w:rPr>
      </w:pPr>
    </w:p>
    <w:p w:rsidR="00083A96" w:rsidRDefault="00083A96" w:rsidP="009064D1">
      <w:pPr>
        <w:pStyle w:val="ad"/>
        <w:spacing w:before="0" w:beforeAutospacing="0" w:after="0" w:afterAutospacing="0"/>
        <w:ind w:left="720"/>
        <w:jc w:val="center"/>
        <w:rPr>
          <w:b/>
          <w:kern w:val="24"/>
          <w:sz w:val="28"/>
          <w:szCs w:val="28"/>
          <w:lang w:val="en-US"/>
        </w:rPr>
      </w:pPr>
    </w:p>
    <w:p w:rsidR="009064D1" w:rsidRDefault="009064D1" w:rsidP="009064D1">
      <w:pPr>
        <w:pStyle w:val="ad"/>
        <w:spacing w:before="0" w:beforeAutospacing="0" w:after="0" w:afterAutospacing="0"/>
        <w:ind w:left="720"/>
        <w:jc w:val="center"/>
        <w:rPr>
          <w:b/>
          <w:kern w:val="24"/>
          <w:sz w:val="28"/>
          <w:szCs w:val="28"/>
        </w:rPr>
      </w:pPr>
      <w:r w:rsidRPr="009064D1">
        <w:rPr>
          <w:b/>
          <w:kern w:val="24"/>
          <w:sz w:val="28"/>
          <w:szCs w:val="28"/>
        </w:rPr>
        <w:lastRenderedPageBreak/>
        <w:t>List of Scientific Publications Related to the Dissertation</w:t>
      </w:r>
    </w:p>
    <w:p w:rsidR="009064D1" w:rsidRPr="009064D1" w:rsidRDefault="009064D1" w:rsidP="009064D1">
      <w:pPr>
        <w:pStyle w:val="ad"/>
        <w:spacing w:before="0" w:beforeAutospacing="0" w:after="0" w:afterAutospacing="0"/>
        <w:ind w:left="720"/>
        <w:jc w:val="center"/>
        <w:rPr>
          <w:b/>
          <w:sz w:val="28"/>
          <w:szCs w:val="28"/>
        </w:rPr>
      </w:pPr>
    </w:p>
    <w:p w:rsidR="00287BCE" w:rsidRPr="000A6E3B" w:rsidRDefault="00287BCE" w:rsidP="00087E6E">
      <w:pPr>
        <w:pStyle w:val="ad"/>
        <w:spacing w:before="0" w:beforeAutospacing="0" w:after="0" w:afterAutospacing="0" w:line="360" w:lineRule="auto"/>
        <w:jc w:val="both"/>
      </w:pPr>
      <w:r w:rsidRPr="005B466D">
        <w:rPr>
          <w:b/>
          <w:color w:val="000000" w:themeColor="text1"/>
          <w:kern w:val="24"/>
          <w:lang w:val="en-US"/>
        </w:rPr>
        <w:t xml:space="preserve">1. </w:t>
      </w:r>
      <w:r w:rsidRPr="000A6E3B">
        <w:rPr>
          <w:color w:val="000000" w:themeColor="text1"/>
          <w:kern w:val="24"/>
        </w:rPr>
        <w:t xml:space="preserve">Toshova, T. B., </w:t>
      </w:r>
      <w:r w:rsidRPr="000A6E3B">
        <w:rPr>
          <w:b/>
          <w:bCs/>
          <w:color w:val="000000" w:themeColor="text1"/>
          <w:kern w:val="24"/>
        </w:rPr>
        <w:t>Velchev</w:t>
      </w:r>
      <w:r w:rsidRPr="000A6E3B">
        <w:rPr>
          <w:color w:val="000000" w:themeColor="text1"/>
          <w:kern w:val="24"/>
        </w:rPr>
        <w:t xml:space="preserve">, D. I. 2012. Field attraction of two polyphagous weevil (Curculionidae: Entiminae) pests to the same synthetic floral lure in Bulgaria. Acta Еntomologica Bulgarica, 15, 1/2: 100-106. </w:t>
      </w:r>
    </w:p>
    <w:p w:rsidR="00287BCE" w:rsidRDefault="00287BCE" w:rsidP="00087E6E">
      <w:pPr>
        <w:pStyle w:val="ad"/>
        <w:spacing w:before="0" w:beforeAutospacing="0" w:after="0" w:afterAutospacing="0" w:line="360" w:lineRule="auto"/>
        <w:jc w:val="both"/>
        <w:rPr>
          <w:color w:val="000000" w:themeColor="text1"/>
          <w:kern w:val="24"/>
          <w:lang w:val="en-US"/>
        </w:rPr>
      </w:pPr>
      <w:r w:rsidRPr="00937CCF">
        <w:rPr>
          <w:b/>
          <w:bCs/>
          <w:color w:val="000000" w:themeColor="text1"/>
          <w:kern w:val="24"/>
          <w:lang w:val="en-US"/>
        </w:rPr>
        <w:t>2.</w:t>
      </w:r>
      <w:r w:rsidRPr="00C87229">
        <w:rPr>
          <w:bCs/>
          <w:color w:val="000000" w:themeColor="text1"/>
          <w:kern w:val="24"/>
          <w:lang w:val="en-US"/>
        </w:rPr>
        <w:t xml:space="preserve"> </w:t>
      </w:r>
      <w:r w:rsidRPr="000A6E3B">
        <w:rPr>
          <w:b/>
          <w:bCs/>
          <w:color w:val="000000" w:themeColor="text1"/>
          <w:kern w:val="24"/>
        </w:rPr>
        <w:t>Velchev</w:t>
      </w:r>
      <w:r w:rsidRPr="000A6E3B">
        <w:rPr>
          <w:color w:val="000000" w:themeColor="text1"/>
          <w:kern w:val="24"/>
        </w:rPr>
        <w:t xml:space="preserve">, D., Toshova, T., Todorov, I., Beshkov, S., Kalushkov, P., Tóth, M. 2019. Effect of the hue of yellow colour on </w:t>
      </w:r>
      <w:r w:rsidRPr="000A6E3B">
        <w:rPr>
          <w:i/>
          <w:iCs/>
          <w:color w:val="000000" w:themeColor="text1"/>
          <w:kern w:val="24"/>
        </w:rPr>
        <w:t xml:space="preserve">Diabrotica virgifera virgifera </w:t>
      </w:r>
      <w:r w:rsidRPr="000A6E3B">
        <w:rPr>
          <w:color w:val="000000" w:themeColor="text1"/>
          <w:kern w:val="24"/>
        </w:rPr>
        <w:t>LeConte captures in KLP+ traps baited with dual lures. Journal of Mountain Agriculture on the Balkans (ISSN 1311-0489), 22, 6: 140-150.</w:t>
      </w:r>
      <w:r>
        <w:rPr>
          <w:color w:val="000000" w:themeColor="text1"/>
          <w:kern w:val="24"/>
        </w:rPr>
        <w:t xml:space="preserve"> </w:t>
      </w:r>
    </w:p>
    <w:p w:rsidR="00287BCE" w:rsidRDefault="00287BCE" w:rsidP="00087E6E">
      <w:pPr>
        <w:pStyle w:val="ad"/>
        <w:spacing w:before="0" w:beforeAutospacing="0" w:after="0" w:afterAutospacing="0" w:line="360" w:lineRule="auto"/>
        <w:jc w:val="both"/>
        <w:rPr>
          <w:color w:val="000000" w:themeColor="text1"/>
          <w:kern w:val="24"/>
        </w:rPr>
      </w:pPr>
      <w:r w:rsidRPr="00DD1CCD">
        <w:rPr>
          <w:b/>
          <w:color w:val="000000" w:themeColor="text1"/>
          <w:kern w:val="24"/>
          <w:lang w:val="en-US"/>
        </w:rPr>
        <w:t>3.</w:t>
      </w:r>
      <w:r>
        <w:rPr>
          <w:color w:val="000000" w:themeColor="text1"/>
          <w:kern w:val="24"/>
          <w:lang w:val="en-US"/>
        </w:rPr>
        <w:t xml:space="preserve"> </w:t>
      </w:r>
      <w:r w:rsidRPr="000A6E3B">
        <w:rPr>
          <w:color w:val="000000" w:themeColor="text1"/>
          <w:kern w:val="24"/>
        </w:rPr>
        <w:t xml:space="preserve">Toshova, T., </w:t>
      </w:r>
      <w:r w:rsidRPr="000A6E3B">
        <w:rPr>
          <w:b/>
          <w:bCs/>
          <w:color w:val="000000" w:themeColor="text1"/>
          <w:kern w:val="24"/>
        </w:rPr>
        <w:t>Velchev</w:t>
      </w:r>
      <w:r w:rsidRPr="000A6E3B">
        <w:rPr>
          <w:color w:val="000000" w:themeColor="text1"/>
          <w:kern w:val="24"/>
        </w:rPr>
        <w:t xml:space="preserve">, D., Barta, M., Takov, D., Todorov, I., Pilarska, D., Tóth, M., Berkov, S., Nikolova, M. 2022. Insecticide activity of Greek oregano essential oil and entomopathogenic fungus </w:t>
      </w:r>
      <w:r w:rsidRPr="000A6E3B">
        <w:rPr>
          <w:i/>
          <w:iCs/>
          <w:color w:val="000000" w:themeColor="text1"/>
          <w:kern w:val="24"/>
        </w:rPr>
        <w:t>Metarhizium pemphigi</w:t>
      </w:r>
      <w:r w:rsidRPr="000A6E3B">
        <w:rPr>
          <w:color w:val="000000" w:themeColor="text1"/>
          <w:kern w:val="24"/>
        </w:rPr>
        <w:t xml:space="preserve"> against </w:t>
      </w:r>
      <w:r w:rsidRPr="000A6E3B">
        <w:rPr>
          <w:i/>
          <w:iCs/>
          <w:color w:val="000000" w:themeColor="text1"/>
          <w:kern w:val="24"/>
        </w:rPr>
        <w:t xml:space="preserve">Diabrotica virgifera virgifera </w:t>
      </w:r>
      <w:r w:rsidRPr="000A6E3B">
        <w:rPr>
          <w:color w:val="000000" w:themeColor="text1"/>
          <w:kern w:val="24"/>
        </w:rPr>
        <w:t xml:space="preserve">LeConte. Cereal Research Communications (издателство Springer Nature): 50, 4: 1045-1054. ISSN:01333720, DOI:10.1007/s42976-022-00266-1; SJR (Scopus):0.336, JCR-IF (Web of Science):1.6 Q2 (Scopus) </w:t>
      </w:r>
    </w:p>
    <w:p w:rsidR="00287BCE" w:rsidRPr="00087E6E" w:rsidRDefault="00287BCE" w:rsidP="00087E6E">
      <w:pPr>
        <w:pStyle w:val="ad"/>
        <w:spacing w:before="0" w:beforeAutospacing="0" w:after="0" w:afterAutospacing="0" w:line="360" w:lineRule="auto"/>
        <w:jc w:val="both"/>
        <w:rPr>
          <w:rFonts w:asciiTheme="minorHAnsi" w:hAnsiTheme="minorHAnsi" w:cstheme="minorHAnsi"/>
          <w:i/>
          <w:color w:val="000000" w:themeColor="text1"/>
          <w:kern w:val="24"/>
        </w:rPr>
      </w:pPr>
      <w:r w:rsidRPr="00087E6E">
        <w:rPr>
          <w:rFonts w:asciiTheme="minorHAnsi" w:hAnsiTheme="minorHAnsi" w:cstheme="minorHAnsi"/>
          <w:i/>
        </w:rPr>
        <w:t>Citations excluding self-citations: 2</w:t>
      </w:r>
    </w:p>
    <w:p w:rsidR="00287BCE" w:rsidRPr="000A6E3B" w:rsidRDefault="00287BCE" w:rsidP="00087E6E">
      <w:pPr>
        <w:pStyle w:val="ad"/>
        <w:spacing w:before="0" w:beforeAutospacing="0" w:after="0" w:afterAutospacing="0" w:line="360" w:lineRule="auto"/>
        <w:jc w:val="both"/>
      </w:pPr>
      <w:r w:rsidRPr="00DD1CCD">
        <w:rPr>
          <w:b/>
          <w:lang w:val="en-US"/>
        </w:rPr>
        <w:t>4.</w:t>
      </w:r>
      <w:r>
        <w:rPr>
          <w:lang w:val="en-US"/>
        </w:rPr>
        <w:t xml:space="preserve"> </w:t>
      </w:r>
      <w:r w:rsidRPr="00C35A5F">
        <w:t xml:space="preserve">Тakov, D., Toshova, T., Pilarska, D., </w:t>
      </w:r>
      <w:r w:rsidRPr="00C87229">
        <w:rPr>
          <w:b/>
        </w:rPr>
        <w:t>Velchev, D.</w:t>
      </w:r>
      <w:r w:rsidRPr="00C35A5F">
        <w:t xml:space="preserve"> 2023. Entomopathogens of three beetle species with agricultural importance (</w:t>
      </w:r>
      <w:r w:rsidRPr="00C35A5F">
        <w:rPr>
          <w:i/>
        </w:rPr>
        <w:t>Tanymecus dilaticollis</w:t>
      </w:r>
      <w:r w:rsidRPr="00C35A5F">
        <w:t xml:space="preserve">, </w:t>
      </w:r>
      <w:r w:rsidRPr="00C35A5F">
        <w:rPr>
          <w:i/>
        </w:rPr>
        <w:t>Oulema melanopus</w:t>
      </w:r>
      <w:r w:rsidRPr="00C35A5F">
        <w:t xml:space="preserve"> and </w:t>
      </w:r>
      <w:r w:rsidRPr="00C35A5F">
        <w:rPr>
          <w:i/>
        </w:rPr>
        <w:t>Diabrotica virgifera virgifera</w:t>
      </w:r>
      <w:r w:rsidRPr="00C35A5F">
        <w:t>): a review. North-Western Journal of Zoology (ISSN:1584-9074), 19, 2: 201-208. SJR (Scopus):0.259, JCR-IF (Web of Science):0.7</w:t>
      </w:r>
      <w:r w:rsidR="00FF3F58">
        <w:t xml:space="preserve"> </w:t>
      </w:r>
      <w:r w:rsidRPr="00C35A5F">
        <w:t xml:space="preserve">Q3 (Scopus) </w:t>
      </w:r>
    </w:p>
    <w:p w:rsidR="00287BCE" w:rsidRDefault="00287BCE" w:rsidP="00087E6E">
      <w:pPr>
        <w:pStyle w:val="ad"/>
        <w:spacing w:before="0" w:beforeAutospacing="0" w:after="0" w:afterAutospacing="0" w:line="360" w:lineRule="auto"/>
        <w:jc w:val="both"/>
        <w:rPr>
          <w:rFonts w:eastAsiaTheme="minorEastAsia"/>
          <w:color w:val="000000" w:themeColor="text1"/>
          <w:kern w:val="24"/>
        </w:rPr>
      </w:pPr>
      <w:r w:rsidRPr="00DD1CCD">
        <w:rPr>
          <w:rFonts w:eastAsiaTheme="minorEastAsia"/>
          <w:b/>
          <w:bCs/>
          <w:color w:val="000000" w:themeColor="text1"/>
          <w:kern w:val="24"/>
          <w:lang w:val="en-US"/>
        </w:rPr>
        <w:t>5.</w:t>
      </w:r>
      <w:r>
        <w:rPr>
          <w:rFonts w:eastAsiaTheme="minorEastAsia"/>
          <w:b/>
          <w:bCs/>
          <w:color w:val="000000" w:themeColor="text1"/>
          <w:kern w:val="24"/>
        </w:rPr>
        <w:t xml:space="preserve"> </w:t>
      </w:r>
      <w:r w:rsidRPr="000A6E3B">
        <w:rPr>
          <w:rFonts w:eastAsiaTheme="minorEastAsia"/>
          <w:b/>
          <w:bCs/>
          <w:color w:val="000000" w:themeColor="text1"/>
          <w:kern w:val="24"/>
        </w:rPr>
        <w:t>Velchev</w:t>
      </w:r>
      <w:r w:rsidRPr="000A6E3B">
        <w:rPr>
          <w:rFonts w:eastAsiaTheme="minorEastAsia"/>
          <w:color w:val="000000" w:themeColor="text1"/>
          <w:kern w:val="24"/>
        </w:rPr>
        <w:t xml:space="preserve">, D. I., Takov, D. I., Todorov, I. A., Pilarska, D. K., Toshova, T. B. 2023. Effect of </w:t>
      </w:r>
      <w:r w:rsidRPr="000A6E3B">
        <w:rPr>
          <w:rFonts w:eastAsiaTheme="minorEastAsia"/>
          <w:i/>
          <w:iCs/>
          <w:color w:val="000000" w:themeColor="text1"/>
          <w:kern w:val="24"/>
        </w:rPr>
        <w:t xml:space="preserve">Beauveria bassiana </w:t>
      </w:r>
      <w:r w:rsidRPr="000A6E3B">
        <w:rPr>
          <w:rFonts w:eastAsiaTheme="minorEastAsia"/>
          <w:color w:val="000000" w:themeColor="text1"/>
          <w:kern w:val="24"/>
        </w:rPr>
        <w:t xml:space="preserve">(strain ATCC 74040) on two leaf beetle (Coleoptera: Chrysomelidae) pests of maize under laboratory conditions. Journal of Central European Agriculture, 24, 2: 434-446. ISSN:13329049, DOI:10.5513/JCEA01/24.2.3787; SJR (Scopus):0.208, JCR-IF (Web of Science):0.7 Q3 (Scopus) </w:t>
      </w:r>
    </w:p>
    <w:p w:rsidR="00287BCE" w:rsidRPr="00087E6E" w:rsidRDefault="00287BCE" w:rsidP="00087E6E">
      <w:pPr>
        <w:pStyle w:val="ad"/>
        <w:spacing w:before="0" w:beforeAutospacing="0" w:after="0" w:afterAutospacing="0" w:line="360" w:lineRule="auto"/>
        <w:jc w:val="both"/>
        <w:rPr>
          <w:rFonts w:asciiTheme="minorHAnsi" w:hAnsiTheme="minorHAnsi" w:cstheme="minorHAnsi"/>
          <w:i/>
          <w:color w:val="000000" w:themeColor="text1"/>
          <w:kern w:val="24"/>
        </w:rPr>
      </w:pPr>
      <w:r w:rsidRPr="00087E6E">
        <w:rPr>
          <w:rFonts w:asciiTheme="minorHAnsi" w:hAnsiTheme="minorHAnsi" w:cstheme="minorHAnsi"/>
          <w:i/>
        </w:rPr>
        <w:t>Citations excluding self-citations: 3</w:t>
      </w:r>
    </w:p>
    <w:p w:rsidR="00287BCE" w:rsidRDefault="00287BCE" w:rsidP="00087E6E">
      <w:pPr>
        <w:pStyle w:val="ad"/>
        <w:spacing w:before="0" w:beforeAutospacing="0" w:after="0" w:afterAutospacing="0" w:line="360" w:lineRule="auto"/>
        <w:jc w:val="both"/>
        <w:rPr>
          <w:rFonts w:eastAsiaTheme="minorEastAsia"/>
          <w:color w:val="000000" w:themeColor="text1"/>
          <w:kern w:val="24"/>
        </w:rPr>
      </w:pPr>
      <w:r w:rsidRPr="00DD1CCD">
        <w:rPr>
          <w:rFonts w:eastAsiaTheme="minorEastAsia"/>
          <w:b/>
          <w:color w:val="000000" w:themeColor="text1"/>
          <w:kern w:val="24"/>
          <w:lang w:val="en-US"/>
        </w:rPr>
        <w:t>6.</w:t>
      </w:r>
      <w:r w:rsidRPr="005B466D">
        <w:rPr>
          <w:rFonts w:eastAsiaTheme="minorEastAsia"/>
          <w:b/>
          <w:color w:val="000000" w:themeColor="text1"/>
          <w:kern w:val="24"/>
          <w:lang w:val="en-US"/>
        </w:rPr>
        <w:t xml:space="preserve"> </w:t>
      </w:r>
      <w:r w:rsidRPr="000A6E3B">
        <w:rPr>
          <w:rFonts w:eastAsiaTheme="minorEastAsia"/>
          <w:color w:val="000000" w:themeColor="text1"/>
          <w:kern w:val="24"/>
        </w:rPr>
        <w:t xml:space="preserve">Toshova, T. B., </w:t>
      </w:r>
      <w:r w:rsidRPr="000A6E3B">
        <w:rPr>
          <w:rFonts w:eastAsiaTheme="minorEastAsia"/>
          <w:b/>
          <w:bCs/>
          <w:color w:val="000000" w:themeColor="text1"/>
          <w:kern w:val="24"/>
        </w:rPr>
        <w:t>Velchev</w:t>
      </w:r>
      <w:r w:rsidRPr="000A6E3B">
        <w:rPr>
          <w:rFonts w:eastAsiaTheme="minorEastAsia"/>
          <w:color w:val="000000" w:themeColor="text1"/>
          <w:kern w:val="24"/>
        </w:rPr>
        <w:t xml:space="preserve">, D. I., Pilarska, D. K., Todorov, I. A., Esteves, I., Barth, M., Takov, D. I. 2024. Biocontrol potential of entomopathogenic nematodes against the grey maize weevil </w:t>
      </w:r>
      <w:r w:rsidRPr="000A6E3B">
        <w:rPr>
          <w:rFonts w:eastAsiaTheme="minorEastAsia"/>
          <w:i/>
          <w:iCs/>
          <w:color w:val="000000" w:themeColor="text1"/>
          <w:kern w:val="24"/>
        </w:rPr>
        <w:t>Tanymecus dilaticollis</w:t>
      </w:r>
      <w:r w:rsidRPr="000A6E3B">
        <w:rPr>
          <w:rFonts w:eastAsiaTheme="minorEastAsia"/>
          <w:color w:val="000000" w:themeColor="text1"/>
          <w:kern w:val="24"/>
        </w:rPr>
        <w:t xml:space="preserve"> (Coleoptera: Curculionidae) adults. Biologia Futura (издателство Springer Nature), 75: 219-233. ISSN:2676-8607, DOI:10.1007/s42977-024-00206-6; SJR (Scopus):0.428, JCR-IF (Web of Science):1.8 Q2 (Scopus) </w:t>
      </w:r>
    </w:p>
    <w:p w:rsidR="00287BCE" w:rsidRPr="00087E6E" w:rsidRDefault="00FF3F58" w:rsidP="00087E6E">
      <w:pPr>
        <w:pStyle w:val="ad"/>
        <w:spacing w:before="0" w:beforeAutospacing="0" w:after="0" w:afterAutospacing="0" w:line="360" w:lineRule="auto"/>
        <w:jc w:val="both"/>
        <w:rPr>
          <w:rFonts w:asciiTheme="minorHAnsi" w:hAnsiTheme="minorHAnsi" w:cstheme="minorHAnsi"/>
          <w:i/>
        </w:rPr>
      </w:pPr>
      <w:r>
        <w:t xml:space="preserve"> </w:t>
      </w:r>
      <w:r w:rsidR="00287BCE" w:rsidRPr="00087E6E">
        <w:rPr>
          <w:rFonts w:asciiTheme="minorHAnsi" w:hAnsiTheme="minorHAnsi" w:cstheme="minorHAnsi"/>
          <w:i/>
        </w:rPr>
        <w:t>Citations excluding self-citations: 4</w:t>
      </w:r>
    </w:p>
    <w:p w:rsidR="005223B1" w:rsidRPr="005223B1" w:rsidRDefault="005223B1" w:rsidP="005223B1">
      <w:pPr>
        <w:spacing w:before="100" w:beforeAutospacing="1" w:after="100" w:afterAutospacing="1" w:line="240" w:lineRule="auto"/>
        <w:ind w:firstLine="0"/>
        <w:jc w:val="center"/>
        <w:rPr>
          <w:rFonts w:ascii="Times New Roman" w:hAnsi="Times New Roman"/>
          <w:sz w:val="32"/>
          <w:szCs w:val="32"/>
          <w:lang w:val="en-US"/>
        </w:rPr>
      </w:pPr>
      <w:r w:rsidRPr="005223B1">
        <w:rPr>
          <w:rFonts w:ascii="Times New Roman" w:hAnsi="Times New Roman"/>
          <w:b/>
          <w:bCs/>
          <w:sz w:val="32"/>
          <w:szCs w:val="32"/>
          <w:lang w:val="en-US"/>
        </w:rPr>
        <w:lastRenderedPageBreak/>
        <w:t>Acknowledgements</w:t>
      </w:r>
    </w:p>
    <w:p w:rsidR="005223B1" w:rsidRPr="005223B1" w:rsidRDefault="005223B1" w:rsidP="00BF6A3C">
      <w:pPr>
        <w:spacing w:before="100" w:beforeAutospacing="1" w:after="100" w:afterAutospacing="1"/>
        <w:ind w:firstLine="567"/>
        <w:rPr>
          <w:rFonts w:ascii="Times New Roman" w:hAnsi="Times New Roman"/>
          <w:sz w:val="24"/>
          <w:szCs w:val="24"/>
          <w:lang w:val="en-US"/>
        </w:rPr>
      </w:pPr>
      <w:r w:rsidRPr="005223B1">
        <w:rPr>
          <w:rFonts w:ascii="Times New Roman" w:hAnsi="Times New Roman"/>
          <w:sz w:val="24"/>
          <w:szCs w:val="24"/>
          <w:lang w:val="en-US"/>
        </w:rPr>
        <w:t>I would like to express my deepest gratitude to my supervisors – Prof. Dr. Olya Karadzhova (Institute of Soil Science, Agrotechnologies and Plant Protection “Nikola Pushkarov” – Agricultural Academy) and Assoc. Prof. Dr. Teodora Toshova (Institute of Biodiversity and Ecosystem Research – Bulgarian Academy of Sciences).</w:t>
      </w:r>
    </w:p>
    <w:p w:rsidR="005223B1" w:rsidRPr="005223B1" w:rsidRDefault="005223B1" w:rsidP="00BF6A3C">
      <w:pPr>
        <w:spacing w:before="100" w:beforeAutospacing="1" w:after="100" w:afterAutospacing="1"/>
        <w:ind w:firstLine="567"/>
        <w:rPr>
          <w:rFonts w:ascii="Times New Roman" w:hAnsi="Times New Roman"/>
          <w:sz w:val="24"/>
          <w:szCs w:val="24"/>
          <w:lang w:val="en-US"/>
        </w:rPr>
      </w:pPr>
      <w:r w:rsidRPr="005223B1">
        <w:rPr>
          <w:rFonts w:ascii="Times New Roman" w:hAnsi="Times New Roman"/>
          <w:sz w:val="24"/>
          <w:szCs w:val="24"/>
          <w:lang w:val="en-US"/>
        </w:rPr>
        <w:t>I am grateful to Prof. Karadzhova for her high scientific standards, methodological guidance, and for the opportunity to benefit from her extensive experience in the field of plant protection. Her support and professionalism were essential for the successful structuring and completion of this research.</w:t>
      </w:r>
    </w:p>
    <w:p w:rsidR="005223B1" w:rsidRPr="005223B1" w:rsidRDefault="005223B1" w:rsidP="00BF6A3C">
      <w:pPr>
        <w:spacing w:before="100" w:beforeAutospacing="1" w:after="100" w:afterAutospacing="1"/>
        <w:ind w:firstLine="567"/>
        <w:rPr>
          <w:rFonts w:ascii="Times New Roman" w:hAnsi="Times New Roman"/>
          <w:sz w:val="24"/>
          <w:szCs w:val="24"/>
          <w:lang w:val="en-US"/>
        </w:rPr>
      </w:pPr>
      <w:r w:rsidRPr="005223B1">
        <w:rPr>
          <w:rFonts w:ascii="Times New Roman" w:hAnsi="Times New Roman"/>
          <w:sz w:val="24"/>
          <w:szCs w:val="24"/>
          <w:lang w:val="en-US"/>
        </w:rPr>
        <w:t>I owe special thanks to Assoc. Prof. Dr. Teodora Toshova for her exceptional precision, guidance throughout the experimental work, and critical evaluation of the results. Her dedication and academic integrity were a strong stimulus for my development as a researcher.</w:t>
      </w:r>
    </w:p>
    <w:p w:rsidR="005223B1" w:rsidRPr="005223B1" w:rsidRDefault="005223B1" w:rsidP="00BF6A3C">
      <w:pPr>
        <w:spacing w:before="100" w:beforeAutospacing="1" w:after="100" w:afterAutospacing="1"/>
        <w:ind w:firstLine="567"/>
        <w:rPr>
          <w:rFonts w:ascii="Times New Roman" w:hAnsi="Times New Roman"/>
          <w:sz w:val="24"/>
          <w:szCs w:val="24"/>
          <w:lang w:val="en-US"/>
        </w:rPr>
      </w:pPr>
      <w:r w:rsidRPr="005223B1">
        <w:rPr>
          <w:rFonts w:ascii="Times New Roman" w:hAnsi="Times New Roman"/>
          <w:sz w:val="24"/>
          <w:szCs w:val="24"/>
          <w:lang w:val="en-US"/>
        </w:rPr>
        <w:t>I would like to thank the management and staff of the Maize Research Institute, Knezhа, for providing the facilities and favourable working environment that made this research possible. I sincerely appreciate the assistance of Silvia Terziyska for her technical support during the field experiments with traps for the grey corn weevil.</w:t>
      </w:r>
    </w:p>
    <w:p w:rsidR="005223B1" w:rsidRPr="005223B1" w:rsidRDefault="005223B1" w:rsidP="00BF6A3C">
      <w:pPr>
        <w:spacing w:before="100" w:beforeAutospacing="1" w:after="100" w:afterAutospacing="1"/>
        <w:ind w:firstLine="567"/>
        <w:rPr>
          <w:rFonts w:ascii="Times New Roman" w:hAnsi="Times New Roman"/>
          <w:sz w:val="24"/>
          <w:szCs w:val="24"/>
          <w:lang w:val="en-US"/>
        </w:rPr>
      </w:pPr>
      <w:r w:rsidRPr="005223B1">
        <w:rPr>
          <w:rFonts w:ascii="Times New Roman" w:hAnsi="Times New Roman"/>
          <w:sz w:val="24"/>
          <w:szCs w:val="24"/>
          <w:lang w:val="en-US"/>
        </w:rPr>
        <w:t>I am grateful to all colleagues from the Plant Protection Department at the Institute of Soil Science, Agrotechnologies and Plant Protection “Nikola Pushkarov” for their support, advice, and constructive comments.</w:t>
      </w:r>
    </w:p>
    <w:p w:rsidR="005223B1" w:rsidRPr="005223B1" w:rsidRDefault="005223B1" w:rsidP="00BF6A3C">
      <w:pPr>
        <w:spacing w:before="100" w:beforeAutospacing="1" w:after="100" w:afterAutospacing="1"/>
        <w:ind w:firstLine="567"/>
        <w:rPr>
          <w:rFonts w:ascii="Times New Roman" w:hAnsi="Times New Roman"/>
          <w:sz w:val="24"/>
          <w:szCs w:val="24"/>
          <w:lang w:val="en-US"/>
        </w:rPr>
      </w:pPr>
      <w:r w:rsidRPr="005223B1">
        <w:rPr>
          <w:rFonts w:ascii="Times New Roman" w:hAnsi="Times New Roman"/>
          <w:sz w:val="24"/>
          <w:szCs w:val="24"/>
          <w:lang w:val="en-US"/>
        </w:rPr>
        <w:t>I would also like to thank my colleagues from the Institute of Biodiversity and Ecosystem Research – Bulgarian Academy of Sciences for the fruitful collaboration.</w:t>
      </w:r>
    </w:p>
    <w:p w:rsidR="005223B1" w:rsidRPr="00287BCE" w:rsidRDefault="005223B1" w:rsidP="00287BCE">
      <w:pPr>
        <w:pStyle w:val="ad"/>
        <w:spacing w:before="0" w:beforeAutospacing="0" w:after="60" w:afterAutospacing="0" w:line="360" w:lineRule="auto"/>
        <w:jc w:val="both"/>
      </w:pPr>
    </w:p>
    <w:p w:rsidR="00287BCE" w:rsidRPr="000A6E3B" w:rsidRDefault="00287BCE" w:rsidP="00287BCE">
      <w:pPr>
        <w:pStyle w:val="ad"/>
        <w:spacing w:before="0" w:beforeAutospacing="0" w:after="60" w:afterAutospacing="0" w:line="360" w:lineRule="auto"/>
        <w:jc w:val="both"/>
      </w:pPr>
    </w:p>
    <w:p w:rsidR="00DB1050" w:rsidRDefault="00DB1050" w:rsidP="005223B1">
      <w:pPr>
        <w:spacing w:line="288" w:lineRule="auto"/>
        <w:ind w:firstLine="0"/>
        <w:jc w:val="center"/>
        <w:rPr>
          <w:rFonts w:ascii="Times New Roman" w:hAnsi="Times New Roman"/>
          <w:sz w:val="24"/>
          <w:szCs w:val="24"/>
          <w:lang w:val="en-US"/>
        </w:rPr>
      </w:pPr>
    </w:p>
    <w:p w:rsidR="00DB1050" w:rsidRDefault="00DB1050" w:rsidP="005223B1">
      <w:pPr>
        <w:spacing w:line="288" w:lineRule="auto"/>
        <w:ind w:firstLine="0"/>
        <w:jc w:val="center"/>
        <w:rPr>
          <w:rFonts w:ascii="Times New Roman" w:hAnsi="Times New Roman"/>
          <w:sz w:val="24"/>
          <w:szCs w:val="24"/>
          <w:lang w:val="en-US"/>
        </w:rPr>
      </w:pPr>
    </w:p>
    <w:p w:rsidR="00DB1050" w:rsidRDefault="00DB1050" w:rsidP="005223B1">
      <w:pPr>
        <w:spacing w:line="288" w:lineRule="auto"/>
        <w:ind w:firstLine="0"/>
        <w:jc w:val="center"/>
        <w:rPr>
          <w:rFonts w:ascii="Times New Roman" w:hAnsi="Times New Roman"/>
          <w:sz w:val="24"/>
          <w:szCs w:val="24"/>
          <w:lang w:val="en-US"/>
        </w:rPr>
      </w:pPr>
    </w:p>
    <w:p w:rsidR="00DB1050" w:rsidRDefault="00DB1050" w:rsidP="005223B1">
      <w:pPr>
        <w:spacing w:line="288" w:lineRule="auto"/>
        <w:ind w:firstLine="0"/>
        <w:jc w:val="center"/>
        <w:rPr>
          <w:rFonts w:ascii="Times New Roman" w:hAnsi="Times New Roman"/>
          <w:sz w:val="24"/>
          <w:szCs w:val="24"/>
          <w:lang w:val="en-US"/>
        </w:rPr>
      </w:pPr>
    </w:p>
    <w:p w:rsidR="005223B1" w:rsidRPr="0090501D" w:rsidRDefault="005223B1" w:rsidP="005223B1">
      <w:pPr>
        <w:spacing w:line="288" w:lineRule="auto"/>
        <w:ind w:firstLine="0"/>
        <w:jc w:val="center"/>
        <w:rPr>
          <w:rFonts w:ascii="Times New Roman" w:hAnsi="Times New Roman"/>
          <w:b/>
          <w:sz w:val="24"/>
          <w:szCs w:val="24"/>
          <w:lang w:val="en-US"/>
        </w:rPr>
      </w:pPr>
      <w:r w:rsidRPr="0090501D">
        <w:rPr>
          <w:rFonts w:ascii="Times New Roman" w:hAnsi="Times New Roman"/>
          <w:b/>
          <w:sz w:val="24"/>
          <w:szCs w:val="24"/>
        </w:rPr>
        <w:lastRenderedPageBreak/>
        <w:t xml:space="preserve">Possibilities for the </w:t>
      </w:r>
      <w:r w:rsidRPr="0090501D">
        <w:rPr>
          <w:rFonts w:ascii="Times New Roman" w:hAnsi="Times New Roman"/>
          <w:b/>
          <w:sz w:val="24"/>
          <w:szCs w:val="24"/>
          <w:lang w:val="en-US"/>
        </w:rPr>
        <w:t>a</w:t>
      </w:r>
      <w:r w:rsidRPr="0090501D">
        <w:rPr>
          <w:rFonts w:ascii="Times New Roman" w:hAnsi="Times New Roman"/>
          <w:b/>
          <w:sz w:val="24"/>
          <w:szCs w:val="24"/>
        </w:rPr>
        <w:t xml:space="preserve">pplication of </w:t>
      </w:r>
      <w:r w:rsidRPr="0090501D">
        <w:rPr>
          <w:rFonts w:ascii="Times New Roman" w:hAnsi="Times New Roman"/>
          <w:b/>
          <w:sz w:val="24"/>
          <w:szCs w:val="24"/>
          <w:lang w:val="en-US"/>
        </w:rPr>
        <w:t>b</w:t>
      </w:r>
      <w:r w:rsidRPr="0090501D">
        <w:rPr>
          <w:rFonts w:ascii="Times New Roman" w:hAnsi="Times New Roman"/>
          <w:b/>
          <w:sz w:val="24"/>
          <w:szCs w:val="24"/>
        </w:rPr>
        <w:t xml:space="preserve">iological </w:t>
      </w:r>
      <w:r w:rsidR="00DB1050" w:rsidRPr="0090501D">
        <w:rPr>
          <w:rFonts w:ascii="Times New Roman" w:hAnsi="Times New Roman"/>
          <w:b/>
          <w:sz w:val="24"/>
          <w:szCs w:val="24"/>
          <w:lang w:val="en-US"/>
        </w:rPr>
        <w:t>means</w:t>
      </w:r>
      <w:r w:rsidR="00DB1050" w:rsidRPr="0090501D">
        <w:rPr>
          <w:rFonts w:ascii="Times New Roman" w:hAnsi="Times New Roman"/>
          <w:b/>
          <w:sz w:val="24"/>
          <w:szCs w:val="24"/>
        </w:rPr>
        <w:t xml:space="preserve"> </w:t>
      </w:r>
      <w:r w:rsidRPr="0090501D">
        <w:rPr>
          <w:rFonts w:ascii="Times New Roman" w:hAnsi="Times New Roman"/>
          <w:b/>
          <w:sz w:val="24"/>
          <w:szCs w:val="24"/>
        </w:rPr>
        <w:t xml:space="preserve">for </w:t>
      </w:r>
      <w:r w:rsidRPr="0090501D">
        <w:rPr>
          <w:rFonts w:ascii="Times New Roman" w:hAnsi="Times New Roman"/>
          <w:b/>
          <w:sz w:val="24"/>
          <w:szCs w:val="24"/>
          <w:lang w:val="en-US"/>
        </w:rPr>
        <w:t>m</w:t>
      </w:r>
      <w:r w:rsidRPr="0090501D">
        <w:rPr>
          <w:rFonts w:ascii="Times New Roman" w:hAnsi="Times New Roman"/>
          <w:b/>
          <w:sz w:val="24"/>
          <w:szCs w:val="24"/>
        </w:rPr>
        <w:t xml:space="preserve">onitoring and </w:t>
      </w:r>
      <w:r w:rsidRPr="0090501D">
        <w:rPr>
          <w:rFonts w:ascii="Times New Roman" w:hAnsi="Times New Roman"/>
          <w:b/>
          <w:sz w:val="24"/>
          <w:szCs w:val="24"/>
          <w:lang w:val="en-US"/>
        </w:rPr>
        <w:t>c</w:t>
      </w:r>
      <w:r w:rsidRPr="0090501D">
        <w:rPr>
          <w:rFonts w:ascii="Times New Roman" w:hAnsi="Times New Roman"/>
          <w:b/>
          <w:sz w:val="24"/>
          <w:szCs w:val="24"/>
        </w:rPr>
        <w:t xml:space="preserve">ontrol </w:t>
      </w:r>
    </w:p>
    <w:p w:rsidR="005223B1" w:rsidRPr="0090501D" w:rsidRDefault="005223B1" w:rsidP="005223B1">
      <w:pPr>
        <w:spacing w:line="288" w:lineRule="auto"/>
        <w:ind w:firstLine="0"/>
        <w:jc w:val="center"/>
        <w:rPr>
          <w:rFonts w:ascii="Times New Roman" w:hAnsi="Times New Roman"/>
          <w:b/>
          <w:sz w:val="24"/>
          <w:szCs w:val="24"/>
          <w:lang w:val="en-US"/>
        </w:rPr>
      </w:pPr>
      <w:r w:rsidRPr="0090501D">
        <w:rPr>
          <w:rFonts w:ascii="Times New Roman" w:hAnsi="Times New Roman"/>
          <w:b/>
          <w:sz w:val="24"/>
          <w:szCs w:val="24"/>
        </w:rPr>
        <w:t xml:space="preserve">of </w:t>
      </w:r>
      <w:r w:rsidRPr="0090501D">
        <w:rPr>
          <w:rFonts w:ascii="Times New Roman" w:hAnsi="Times New Roman"/>
          <w:b/>
          <w:sz w:val="24"/>
          <w:szCs w:val="24"/>
          <w:lang w:val="en-US"/>
        </w:rPr>
        <w:t>i</w:t>
      </w:r>
      <w:r w:rsidRPr="0090501D">
        <w:rPr>
          <w:rFonts w:ascii="Times New Roman" w:hAnsi="Times New Roman"/>
          <w:b/>
          <w:sz w:val="24"/>
          <w:szCs w:val="24"/>
        </w:rPr>
        <w:t xml:space="preserve">nsect </w:t>
      </w:r>
      <w:r w:rsidRPr="0090501D">
        <w:rPr>
          <w:rFonts w:ascii="Times New Roman" w:hAnsi="Times New Roman"/>
          <w:b/>
          <w:sz w:val="24"/>
          <w:szCs w:val="24"/>
          <w:lang w:val="en-US"/>
        </w:rPr>
        <w:t>p</w:t>
      </w:r>
      <w:r w:rsidRPr="0090501D">
        <w:rPr>
          <w:rFonts w:ascii="Times New Roman" w:hAnsi="Times New Roman"/>
          <w:b/>
          <w:sz w:val="24"/>
          <w:szCs w:val="24"/>
        </w:rPr>
        <w:t xml:space="preserve">ests in </w:t>
      </w:r>
      <w:r w:rsidRPr="0090501D">
        <w:rPr>
          <w:rFonts w:ascii="Times New Roman" w:hAnsi="Times New Roman"/>
          <w:b/>
          <w:sz w:val="24"/>
          <w:szCs w:val="24"/>
          <w:lang w:val="en-US"/>
        </w:rPr>
        <w:t>m</w:t>
      </w:r>
      <w:r w:rsidRPr="0090501D">
        <w:rPr>
          <w:rFonts w:ascii="Times New Roman" w:hAnsi="Times New Roman"/>
          <w:b/>
          <w:sz w:val="24"/>
          <w:szCs w:val="24"/>
        </w:rPr>
        <w:t>aize</w:t>
      </w:r>
    </w:p>
    <w:p w:rsidR="005223B1" w:rsidRPr="000C40F4" w:rsidRDefault="005223B1" w:rsidP="005223B1">
      <w:pPr>
        <w:spacing w:line="288" w:lineRule="auto"/>
        <w:rPr>
          <w:rFonts w:ascii="Times New Roman" w:hAnsi="Times New Roman"/>
          <w:sz w:val="24"/>
          <w:szCs w:val="24"/>
          <w:lang w:val="en-US"/>
        </w:rPr>
      </w:pPr>
    </w:p>
    <w:p w:rsidR="005223B1" w:rsidRPr="000C40F4" w:rsidRDefault="005223B1" w:rsidP="005223B1">
      <w:pPr>
        <w:spacing w:line="288" w:lineRule="auto"/>
        <w:ind w:firstLine="0"/>
        <w:jc w:val="center"/>
        <w:rPr>
          <w:rFonts w:ascii="Times New Roman" w:hAnsi="Times New Roman"/>
          <w:sz w:val="24"/>
          <w:szCs w:val="24"/>
          <w:lang w:val="en-US"/>
        </w:rPr>
      </w:pPr>
      <w:r w:rsidRPr="000C40F4">
        <w:rPr>
          <w:rFonts w:ascii="Times New Roman" w:hAnsi="Times New Roman"/>
          <w:sz w:val="24"/>
          <w:szCs w:val="24"/>
          <w:lang w:val="en-US"/>
        </w:rPr>
        <w:t>Dimatar Ivanov Velchev</w:t>
      </w:r>
    </w:p>
    <w:p w:rsidR="005223B1" w:rsidRPr="000C40F4" w:rsidRDefault="005223B1" w:rsidP="005223B1">
      <w:pPr>
        <w:spacing w:line="288" w:lineRule="auto"/>
        <w:ind w:firstLine="0"/>
        <w:jc w:val="center"/>
        <w:rPr>
          <w:rFonts w:ascii="Times New Roman" w:hAnsi="Times New Roman"/>
          <w:sz w:val="24"/>
          <w:szCs w:val="24"/>
          <w:lang w:val="en-US"/>
        </w:rPr>
      </w:pPr>
    </w:p>
    <w:p w:rsidR="005223B1" w:rsidRPr="000C40F4" w:rsidRDefault="005223B1" w:rsidP="005223B1">
      <w:pPr>
        <w:spacing w:line="288" w:lineRule="auto"/>
        <w:ind w:firstLine="0"/>
        <w:jc w:val="center"/>
        <w:rPr>
          <w:rFonts w:ascii="Times New Roman" w:hAnsi="Times New Roman"/>
          <w:b/>
          <w:sz w:val="24"/>
          <w:szCs w:val="24"/>
          <w:lang w:val="en-US"/>
        </w:rPr>
      </w:pPr>
      <w:r w:rsidRPr="000C40F4">
        <w:rPr>
          <w:rFonts w:ascii="Times New Roman" w:hAnsi="Times New Roman"/>
          <w:b/>
          <w:sz w:val="24"/>
          <w:szCs w:val="24"/>
          <w:lang w:val="en-US"/>
        </w:rPr>
        <w:t>Summary</w:t>
      </w:r>
    </w:p>
    <w:p w:rsidR="005223B1" w:rsidRPr="000C40F4" w:rsidRDefault="005223B1" w:rsidP="005223B1">
      <w:pPr>
        <w:spacing w:line="288" w:lineRule="auto"/>
        <w:rPr>
          <w:rFonts w:ascii="Times New Roman" w:hAnsi="Times New Roman"/>
          <w:sz w:val="24"/>
          <w:szCs w:val="24"/>
        </w:rPr>
      </w:pPr>
    </w:p>
    <w:p w:rsidR="005223B1" w:rsidRPr="000C40F4" w:rsidRDefault="005223B1" w:rsidP="00BF6A3C">
      <w:pPr>
        <w:spacing w:line="288" w:lineRule="auto"/>
        <w:ind w:firstLine="567"/>
        <w:rPr>
          <w:rFonts w:ascii="Times New Roman" w:hAnsi="Times New Roman"/>
          <w:sz w:val="24"/>
          <w:szCs w:val="24"/>
        </w:rPr>
      </w:pPr>
      <w:r w:rsidRPr="000C40F4">
        <w:rPr>
          <w:rFonts w:ascii="Times New Roman" w:hAnsi="Times New Roman"/>
          <w:sz w:val="24"/>
          <w:szCs w:val="24"/>
        </w:rPr>
        <w:t>The present dissertation presents the results of studies related to chemical ecology, monitoring of seasonal activity, and the possibilities for biological control of three important maize pests in Bulgaria – the grey maize weevil (</w:t>
      </w:r>
      <w:r w:rsidRPr="000C40F4">
        <w:rPr>
          <w:rFonts w:ascii="Times New Roman" w:hAnsi="Times New Roman"/>
          <w:i/>
          <w:sz w:val="24"/>
          <w:szCs w:val="24"/>
        </w:rPr>
        <w:t>Tanymecus dilaticollis</w:t>
      </w:r>
      <w:r w:rsidRPr="000C40F4">
        <w:rPr>
          <w:rFonts w:ascii="Times New Roman" w:hAnsi="Times New Roman"/>
          <w:sz w:val="24"/>
          <w:szCs w:val="24"/>
        </w:rPr>
        <w:t>), the western corn rootworm (</w:t>
      </w:r>
      <w:r w:rsidRPr="000C40F4">
        <w:rPr>
          <w:rFonts w:ascii="Times New Roman" w:hAnsi="Times New Roman"/>
          <w:i/>
          <w:sz w:val="24"/>
          <w:szCs w:val="24"/>
        </w:rPr>
        <w:t>Diabrotica virgifera virgifera</w:t>
      </w:r>
      <w:r w:rsidRPr="000C40F4">
        <w:rPr>
          <w:rFonts w:ascii="Times New Roman" w:hAnsi="Times New Roman"/>
          <w:sz w:val="24"/>
          <w:szCs w:val="24"/>
        </w:rPr>
        <w:t>), and the cereal leaf beetle (</w:t>
      </w:r>
      <w:r w:rsidRPr="000C40F4">
        <w:rPr>
          <w:rFonts w:ascii="Times New Roman" w:hAnsi="Times New Roman"/>
          <w:i/>
          <w:sz w:val="24"/>
          <w:szCs w:val="24"/>
        </w:rPr>
        <w:t>Oulema melanopus</w:t>
      </w:r>
      <w:r w:rsidRPr="000C40F4">
        <w:rPr>
          <w:rFonts w:ascii="Times New Roman" w:hAnsi="Times New Roman"/>
          <w:sz w:val="24"/>
          <w:szCs w:val="24"/>
        </w:rPr>
        <w:t>).</w:t>
      </w:r>
    </w:p>
    <w:p w:rsidR="005223B1" w:rsidRPr="000C40F4" w:rsidRDefault="005223B1" w:rsidP="00BF6A3C">
      <w:pPr>
        <w:spacing w:line="288" w:lineRule="auto"/>
        <w:ind w:firstLine="567"/>
        <w:rPr>
          <w:rFonts w:ascii="Times New Roman" w:hAnsi="Times New Roman"/>
          <w:sz w:val="24"/>
          <w:szCs w:val="24"/>
        </w:rPr>
      </w:pPr>
      <w:r w:rsidRPr="000C40F4">
        <w:rPr>
          <w:rFonts w:ascii="Times New Roman" w:hAnsi="Times New Roman"/>
          <w:sz w:val="24"/>
          <w:szCs w:val="24"/>
        </w:rPr>
        <w:t xml:space="preserve">As a result of the conducted studies on </w:t>
      </w:r>
      <w:r w:rsidRPr="000C40F4">
        <w:rPr>
          <w:rFonts w:ascii="Times New Roman" w:hAnsi="Times New Roman"/>
          <w:i/>
          <w:sz w:val="24"/>
          <w:szCs w:val="24"/>
        </w:rPr>
        <w:t>Tanymecus dilaticollis</w:t>
      </w:r>
      <w:r w:rsidRPr="000C40F4">
        <w:rPr>
          <w:rFonts w:ascii="Times New Roman" w:hAnsi="Times New Roman"/>
          <w:sz w:val="24"/>
          <w:szCs w:val="24"/>
        </w:rPr>
        <w:t xml:space="preserve">, the synthetic plant compounds (E)-2-hexen-1-ol and (Z)-3-hexen-1-ol were identified for the first time as attractants acting as kairomones (plant attractants) for both sexes of this species. Among several lure variants tested, the highest efficacy was recorded for the binary blend applied in a 1:1 ratio. It was demonstrated that TAL sticky traps (CSALOMON®, Hungary) baited with the binary mixture are suitable tools for monitoring the seasonal activity of the pest. New data concerning the intraspecific communication of this species were also obtained. Field and laboratory experiments demonstrated that the bioinsecticide Naturalis® (strain ATCC 74040 of </w:t>
      </w:r>
      <w:r w:rsidRPr="000C40F4">
        <w:rPr>
          <w:rFonts w:ascii="Times New Roman" w:hAnsi="Times New Roman"/>
          <w:i/>
          <w:sz w:val="24"/>
          <w:szCs w:val="24"/>
        </w:rPr>
        <w:t>Beauveria bassiana</w:t>
      </w:r>
      <w:r w:rsidRPr="000C40F4">
        <w:rPr>
          <w:rFonts w:ascii="Times New Roman" w:hAnsi="Times New Roman"/>
          <w:sz w:val="24"/>
          <w:szCs w:val="24"/>
        </w:rPr>
        <w:t>), the entomopathogenic nematode product Nemastar® (</w:t>
      </w:r>
      <w:r w:rsidRPr="000C40F4">
        <w:rPr>
          <w:rFonts w:ascii="Times New Roman" w:hAnsi="Times New Roman"/>
          <w:i/>
          <w:sz w:val="24"/>
          <w:szCs w:val="24"/>
        </w:rPr>
        <w:t>Steinernema carpocapsae</w:t>
      </w:r>
      <w:r w:rsidRPr="000C40F4">
        <w:rPr>
          <w:rFonts w:ascii="Times New Roman" w:hAnsi="Times New Roman"/>
          <w:sz w:val="24"/>
          <w:szCs w:val="24"/>
        </w:rPr>
        <w:t xml:space="preserve">) (e-nema GmbH, Germany), and </w:t>
      </w:r>
      <w:r w:rsidRPr="000C40F4">
        <w:rPr>
          <w:rFonts w:ascii="Times New Roman" w:hAnsi="Times New Roman"/>
          <w:sz w:val="24"/>
          <w:szCs w:val="24"/>
          <w:lang w:val="en-US"/>
        </w:rPr>
        <w:t>Greek oregano (</w:t>
      </w:r>
      <w:r w:rsidRPr="000C40F4">
        <w:rPr>
          <w:rFonts w:ascii="Times New Roman" w:hAnsi="Times New Roman"/>
          <w:i/>
          <w:sz w:val="24"/>
          <w:szCs w:val="24"/>
          <w:lang w:val="en-US"/>
        </w:rPr>
        <w:t xml:space="preserve">Origanum vulgare </w:t>
      </w:r>
      <w:r w:rsidRPr="000C40F4">
        <w:rPr>
          <w:rFonts w:ascii="Times New Roman" w:hAnsi="Times New Roman"/>
          <w:sz w:val="24"/>
          <w:szCs w:val="24"/>
          <w:lang w:val="en-US"/>
        </w:rPr>
        <w:t>subsp.</w:t>
      </w:r>
      <w:r w:rsidRPr="000C40F4">
        <w:rPr>
          <w:rFonts w:ascii="Times New Roman" w:hAnsi="Times New Roman"/>
          <w:i/>
          <w:sz w:val="24"/>
          <w:szCs w:val="24"/>
          <w:lang w:val="en-US"/>
        </w:rPr>
        <w:t xml:space="preserve"> hirtum</w:t>
      </w:r>
      <w:r w:rsidRPr="000C40F4">
        <w:rPr>
          <w:rFonts w:ascii="Times New Roman" w:hAnsi="Times New Roman"/>
          <w:sz w:val="24"/>
          <w:szCs w:val="24"/>
          <w:lang w:val="en-US"/>
        </w:rPr>
        <w:t xml:space="preserve">) essential oil, </w:t>
      </w:r>
      <w:r w:rsidRPr="000C40F4">
        <w:rPr>
          <w:rFonts w:ascii="Times New Roman" w:hAnsi="Times New Roman"/>
          <w:sz w:val="24"/>
          <w:szCs w:val="24"/>
        </w:rPr>
        <w:t>possess potential for application in organic and integrated production systems.</w:t>
      </w:r>
    </w:p>
    <w:p w:rsidR="005223B1" w:rsidRPr="000C40F4" w:rsidRDefault="005223B1" w:rsidP="00BF6A3C">
      <w:pPr>
        <w:spacing w:line="288" w:lineRule="auto"/>
        <w:ind w:firstLine="567"/>
        <w:rPr>
          <w:rFonts w:ascii="Times New Roman" w:hAnsi="Times New Roman"/>
          <w:sz w:val="24"/>
          <w:szCs w:val="24"/>
        </w:rPr>
      </w:pPr>
      <w:r w:rsidRPr="000C40F4">
        <w:rPr>
          <w:rFonts w:ascii="Times New Roman" w:hAnsi="Times New Roman"/>
          <w:sz w:val="24"/>
          <w:szCs w:val="24"/>
        </w:rPr>
        <w:t xml:space="preserve">Regarding </w:t>
      </w:r>
      <w:r w:rsidRPr="000C40F4">
        <w:rPr>
          <w:rFonts w:ascii="Times New Roman" w:hAnsi="Times New Roman"/>
          <w:i/>
          <w:sz w:val="24"/>
          <w:szCs w:val="24"/>
        </w:rPr>
        <w:t>Diabrotica virgifera virgifera</w:t>
      </w:r>
      <w:r w:rsidRPr="000C40F4">
        <w:rPr>
          <w:rFonts w:ascii="Times New Roman" w:hAnsi="Times New Roman"/>
          <w:sz w:val="24"/>
          <w:szCs w:val="24"/>
        </w:rPr>
        <w:t xml:space="preserve">, high efficacy of KLP+ traps with combined lure (sex pheromone and plant attractant) (CSALOMON®, Hungary) was established as a tool for monitoring the seasonal flight dynamics of the pest in Bulgaria. The period </w:t>
      </w:r>
      <w:r w:rsidRPr="000C40F4">
        <w:rPr>
          <w:rFonts w:ascii="Times New Roman" w:hAnsi="Times New Roman"/>
          <w:sz w:val="24"/>
          <w:szCs w:val="24"/>
          <w:lang w:val="en-US"/>
        </w:rPr>
        <w:t xml:space="preserve">of the </w:t>
      </w:r>
      <w:r w:rsidRPr="000C40F4">
        <w:rPr>
          <w:rFonts w:ascii="Times New Roman" w:hAnsi="Times New Roman"/>
          <w:sz w:val="24"/>
          <w:szCs w:val="24"/>
        </w:rPr>
        <w:t xml:space="preserve">seasonal activity of the adults in the region of Knezha was determined from late June to early September. Under laboratory conditions, </w:t>
      </w:r>
      <w:r w:rsidRPr="000C40F4">
        <w:rPr>
          <w:rFonts w:ascii="Times New Roman" w:hAnsi="Times New Roman"/>
          <w:sz w:val="24"/>
          <w:szCs w:val="24"/>
          <w:lang w:val="en-US"/>
        </w:rPr>
        <w:t xml:space="preserve">Greek </w:t>
      </w:r>
      <w:r w:rsidRPr="000C40F4">
        <w:rPr>
          <w:rFonts w:ascii="Times New Roman" w:hAnsi="Times New Roman"/>
          <w:sz w:val="24"/>
          <w:szCs w:val="24"/>
        </w:rPr>
        <w:t xml:space="preserve">oregano essential oil exhibited strong insecticidal activity against adults, while the entomopathogenic fungus </w:t>
      </w:r>
      <w:r w:rsidRPr="000C40F4">
        <w:rPr>
          <w:rFonts w:ascii="Times New Roman" w:hAnsi="Times New Roman"/>
          <w:i/>
          <w:sz w:val="24"/>
          <w:szCs w:val="24"/>
        </w:rPr>
        <w:t xml:space="preserve">Metarhizium pemphigi </w:t>
      </w:r>
      <w:r w:rsidRPr="000C40F4">
        <w:rPr>
          <w:rFonts w:ascii="Times New Roman" w:hAnsi="Times New Roman"/>
          <w:sz w:val="24"/>
          <w:szCs w:val="24"/>
        </w:rPr>
        <w:t>demonstrated moderate pathogenicity.</w:t>
      </w:r>
    </w:p>
    <w:p w:rsidR="005223B1" w:rsidRPr="000C40F4" w:rsidRDefault="005223B1" w:rsidP="00BF6A3C">
      <w:pPr>
        <w:spacing w:line="288" w:lineRule="auto"/>
        <w:ind w:firstLine="567"/>
        <w:rPr>
          <w:rFonts w:ascii="Times New Roman" w:hAnsi="Times New Roman"/>
          <w:sz w:val="24"/>
          <w:szCs w:val="24"/>
        </w:rPr>
      </w:pPr>
      <w:r w:rsidRPr="000C40F4">
        <w:rPr>
          <w:rFonts w:ascii="Times New Roman" w:hAnsi="Times New Roman"/>
          <w:sz w:val="24"/>
          <w:szCs w:val="24"/>
        </w:rPr>
        <w:t xml:space="preserve">In </w:t>
      </w:r>
      <w:r w:rsidRPr="000C40F4">
        <w:rPr>
          <w:rFonts w:ascii="Times New Roman" w:hAnsi="Times New Roman"/>
          <w:i/>
          <w:sz w:val="24"/>
          <w:szCs w:val="24"/>
        </w:rPr>
        <w:t>Oulema melanopus</w:t>
      </w:r>
      <w:r w:rsidRPr="000C40F4">
        <w:rPr>
          <w:rFonts w:ascii="Times New Roman" w:hAnsi="Times New Roman"/>
          <w:sz w:val="24"/>
          <w:szCs w:val="24"/>
        </w:rPr>
        <w:t>, high efficacy of the bioinsecticide Naturalis® was established against the larval stage of the pest.</w:t>
      </w:r>
    </w:p>
    <w:p w:rsidR="005223B1" w:rsidRDefault="005223B1" w:rsidP="00BF6A3C">
      <w:pPr>
        <w:spacing w:line="288" w:lineRule="auto"/>
        <w:ind w:firstLine="567"/>
        <w:rPr>
          <w:rFonts w:ascii="Times New Roman" w:hAnsi="Times New Roman"/>
          <w:b/>
          <w:sz w:val="28"/>
          <w:szCs w:val="28"/>
        </w:rPr>
      </w:pPr>
      <w:r w:rsidRPr="000C40F4">
        <w:rPr>
          <w:rFonts w:ascii="Times New Roman" w:hAnsi="Times New Roman"/>
          <w:sz w:val="24"/>
          <w:szCs w:val="24"/>
        </w:rPr>
        <w:t>The obtained results could serve as a basis for future scientific studies and for the development of biorational strategies for the control of the target pest species in accordance with current environmental requirements under conditions of restricted use of neonicotinoids.</w:t>
      </w:r>
    </w:p>
    <w:p w:rsidR="006B0851" w:rsidRPr="00A76D2A" w:rsidRDefault="006B0851" w:rsidP="005223B1">
      <w:pPr>
        <w:autoSpaceDE w:val="0"/>
        <w:autoSpaceDN w:val="0"/>
        <w:adjustRightInd w:val="0"/>
        <w:ind w:firstLine="0"/>
        <w:jc w:val="center"/>
        <w:rPr>
          <w:rFonts w:ascii="Times New Roman" w:hAnsi="Times New Roman"/>
          <w:b/>
          <w:sz w:val="28"/>
          <w:szCs w:val="28"/>
        </w:rPr>
      </w:pPr>
    </w:p>
    <w:sectPr w:rsidR="006B0851" w:rsidRPr="00A76D2A">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579D" w:rsidRDefault="002F579D" w:rsidP="006B0851">
      <w:pPr>
        <w:spacing w:line="240" w:lineRule="auto"/>
      </w:pPr>
      <w:r>
        <w:separator/>
      </w:r>
    </w:p>
  </w:endnote>
  <w:endnote w:type="continuationSeparator" w:id="0">
    <w:p w:rsidR="002F579D" w:rsidRDefault="002F579D" w:rsidP="006B08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HiddenHorzOCR">
    <w:altName w:val="MS Mincho"/>
    <w:panose1 w:val="00000000000000000000"/>
    <w:charset w:val="80"/>
    <w:family w:val="auto"/>
    <w:notTrueType/>
    <w:pitch w:val="default"/>
    <w:sig w:usb0="00000000" w:usb1="08070000" w:usb2="00000010" w:usb3="00000000" w:csb0="0002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579D" w:rsidRDefault="002F579D" w:rsidP="006B0851">
      <w:pPr>
        <w:spacing w:line="240" w:lineRule="auto"/>
      </w:pPr>
      <w:r>
        <w:separator/>
      </w:r>
    </w:p>
  </w:footnote>
  <w:footnote w:type="continuationSeparator" w:id="0">
    <w:p w:rsidR="002F579D" w:rsidRDefault="002F579D" w:rsidP="006B085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C46A2"/>
    <w:multiLevelType w:val="multilevel"/>
    <w:tmpl w:val="F5161778"/>
    <w:lvl w:ilvl="0">
      <w:start w:val="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 w15:restartNumberingAfterBreak="0">
    <w:nsid w:val="063979C8"/>
    <w:multiLevelType w:val="multilevel"/>
    <w:tmpl w:val="680CED0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15:restartNumberingAfterBreak="0">
    <w:nsid w:val="09331160"/>
    <w:multiLevelType w:val="multilevel"/>
    <w:tmpl w:val="7F685D8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 w15:restartNumberingAfterBreak="0">
    <w:nsid w:val="11CB442C"/>
    <w:multiLevelType w:val="hybridMultilevel"/>
    <w:tmpl w:val="36305E22"/>
    <w:lvl w:ilvl="0" w:tplc="BE94C724">
      <w:numFmt w:val="bullet"/>
      <w:pStyle w:val="11"/>
      <w:lvlText w:val="-"/>
      <w:lvlJc w:val="left"/>
      <w:pPr>
        <w:ind w:left="792" w:hanging="360"/>
      </w:pPr>
      <w:rPr>
        <w:rFonts w:ascii="Times New Roman" w:eastAsia="Times New Roman" w:hAnsi="Times New Roman" w:hint="default"/>
      </w:rPr>
    </w:lvl>
    <w:lvl w:ilvl="1" w:tplc="04020003" w:tentative="1">
      <w:start w:val="1"/>
      <w:numFmt w:val="bullet"/>
      <w:lvlText w:val="o"/>
      <w:lvlJc w:val="left"/>
      <w:pPr>
        <w:ind w:left="1512" w:hanging="360"/>
      </w:pPr>
      <w:rPr>
        <w:rFonts w:ascii="Courier New" w:hAnsi="Courier New" w:hint="default"/>
      </w:rPr>
    </w:lvl>
    <w:lvl w:ilvl="2" w:tplc="04020005" w:tentative="1">
      <w:start w:val="1"/>
      <w:numFmt w:val="bullet"/>
      <w:lvlText w:val=""/>
      <w:lvlJc w:val="left"/>
      <w:pPr>
        <w:ind w:left="2232" w:hanging="360"/>
      </w:pPr>
      <w:rPr>
        <w:rFonts w:ascii="Wingdings" w:hAnsi="Wingdings" w:hint="default"/>
      </w:rPr>
    </w:lvl>
    <w:lvl w:ilvl="3" w:tplc="04020001" w:tentative="1">
      <w:start w:val="1"/>
      <w:numFmt w:val="bullet"/>
      <w:lvlText w:val=""/>
      <w:lvlJc w:val="left"/>
      <w:pPr>
        <w:ind w:left="2952" w:hanging="360"/>
      </w:pPr>
      <w:rPr>
        <w:rFonts w:ascii="Symbol" w:hAnsi="Symbol" w:hint="default"/>
      </w:rPr>
    </w:lvl>
    <w:lvl w:ilvl="4" w:tplc="04020003" w:tentative="1">
      <w:start w:val="1"/>
      <w:numFmt w:val="bullet"/>
      <w:lvlText w:val="o"/>
      <w:lvlJc w:val="left"/>
      <w:pPr>
        <w:ind w:left="3672" w:hanging="360"/>
      </w:pPr>
      <w:rPr>
        <w:rFonts w:ascii="Courier New" w:hAnsi="Courier New" w:hint="default"/>
      </w:rPr>
    </w:lvl>
    <w:lvl w:ilvl="5" w:tplc="04020005" w:tentative="1">
      <w:start w:val="1"/>
      <w:numFmt w:val="bullet"/>
      <w:lvlText w:val=""/>
      <w:lvlJc w:val="left"/>
      <w:pPr>
        <w:ind w:left="4392" w:hanging="360"/>
      </w:pPr>
      <w:rPr>
        <w:rFonts w:ascii="Wingdings" w:hAnsi="Wingdings" w:hint="default"/>
      </w:rPr>
    </w:lvl>
    <w:lvl w:ilvl="6" w:tplc="04020001" w:tentative="1">
      <w:start w:val="1"/>
      <w:numFmt w:val="bullet"/>
      <w:lvlText w:val=""/>
      <w:lvlJc w:val="left"/>
      <w:pPr>
        <w:ind w:left="5112" w:hanging="360"/>
      </w:pPr>
      <w:rPr>
        <w:rFonts w:ascii="Symbol" w:hAnsi="Symbol" w:hint="default"/>
      </w:rPr>
    </w:lvl>
    <w:lvl w:ilvl="7" w:tplc="04020003" w:tentative="1">
      <w:start w:val="1"/>
      <w:numFmt w:val="bullet"/>
      <w:lvlText w:val="o"/>
      <w:lvlJc w:val="left"/>
      <w:pPr>
        <w:ind w:left="5832" w:hanging="360"/>
      </w:pPr>
      <w:rPr>
        <w:rFonts w:ascii="Courier New" w:hAnsi="Courier New" w:hint="default"/>
      </w:rPr>
    </w:lvl>
    <w:lvl w:ilvl="8" w:tplc="04020005" w:tentative="1">
      <w:start w:val="1"/>
      <w:numFmt w:val="bullet"/>
      <w:lvlText w:val=""/>
      <w:lvlJc w:val="left"/>
      <w:pPr>
        <w:ind w:left="6552" w:hanging="360"/>
      </w:pPr>
      <w:rPr>
        <w:rFonts w:ascii="Wingdings" w:hAnsi="Wingdings" w:hint="default"/>
      </w:rPr>
    </w:lvl>
  </w:abstractNum>
  <w:abstractNum w:abstractNumId="4" w15:restartNumberingAfterBreak="0">
    <w:nsid w:val="1C732AC7"/>
    <w:multiLevelType w:val="multilevel"/>
    <w:tmpl w:val="BDE4841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15:restartNumberingAfterBreak="0">
    <w:nsid w:val="2A0B2372"/>
    <w:multiLevelType w:val="multilevel"/>
    <w:tmpl w:val="F850D37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 w15:restartNumberingAfterBreak="0">
    <w:nsid w:val="2BE94695"/>
    <w:multiLevelType w:val="multilevel"/>
    <w:tmpl w:val="0E34314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 w15:restartNumberingAfterBreak="0">
    <w:nsid w:val="2C1601F4"/>
    <w:multiLevelType w:val="multilevel"/>
    <w:tmpl w:val="526A2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333164"/>
    <w:multiLevelType w:val="multilevel"/>
    <w:tmpl w:val="EB1055E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9" w15:restartNumberingAfterBreak="0">
    <w:nsid w:val="34E0408D"/>
    <w:multiLevelType w:val="multilevel"/>
    <w:tmpl w:val="68E6D19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0" w15:restartNumberingAfterBreak="0">
    <w:nsid w:val="39455D95"/>
    <w:multiLevelType w:val="multilevel"/>
    <w:tmpl w:val="EB7A7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8C2A64"/>
    <w:multiLevelType w:val="multilevel"/>
    <w:tmpl w:val="DD42D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FA6B34"/>
    <w:multiLevelType w:val="multilevel"/>
    <w:tmpl w:val="E6F8363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15:restartNumberingAfterBreak="0">
    <w:nsid w:val="41E66136"/>
    <w:multiLevelType w:val="multilevel"/>
    <w:tmpl w:val="2C4A6CD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4" w15:restartNumberingAfterBreak="0">
    <w:nsid w:val="441F1A83"/>
    <w:multiLevelType w:val="multilevel"/>
    <w:tmpl w:val="B5A4C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F2323C"/>
    <w:multiLevelType w:val="multilevel"/>
    <w:tmpl w:val="AEB03D0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6" w15:restartNumberingAfterBreak="0">
    <w:nsid w:val="465445AF"/>
    <w:multiLevelType w:val="hybridMultilevel"/>
    <w:tmpl w:val="22F0D7A4"/>
    <w:lvl w:ilvl="0" w:tplc="E070EB30">
      <w:start w:val="1"/>
      <w:numFmt w:val="decimal"/>
      <w:lvlText w:val="%1."/>
      <w:lvlJc w:val="left"/>
      <w:pPr>
        <w:ind w:left="720" w:hanging="360"/>
      </w:pPr>
      <w:rPr>
        <w:rFonts w:cs="Times New Roman" w:hint="default"/>
        <w:color w:val="000000" w:themeColor="text1"/>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4CE94CE3"/>
    <w:multiLevelType w:val="multilevel"/>
    <w:tmpl w:val="D1F09F9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8" w15:restartNumberingAfterBreak="0">
    <w:nsid w:val="4ED453B7"/>
    <w:multiLevelType w:val="multilevel"/>
    <w:tmpl w:val="B0425B8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9" w15:restartNumberingAfterBreak="0">
    <w:nsid w:val="63AF0FA0"/>
    <w:multiLevelType w:val="multilevel"/>
    <w:tmpl w:val="5320876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0" w15:restartNumberingAfterBreak="0">
    <w:nsid w:val="65B05D43"/>
    <w:multiLevelType w:val="multilevel"/>
    <w:tmpl w:val="4B989F4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1" w15:restartNumberingAfterBreak="0">
    <w:nsid w:val="65B925E5"/>
    <w:multiLevelType w:val="multilevel"/>
    <w:tmpl w:val="153A923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2" w15:restartNumberingAfterBreak="0">
    <w:nsid w:val="6D466142"/>
    <w:multiLevelType w:val="multilevel"/>
    <w:tmpl w:val="CD50F2D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3" w15:restartNumberingAfterBreak="0">
    <w:nsid w:val="6F2A6D8C"/>
    <w:multiLevelType w:val="multilevel"/>
    <w:tmpl w:val="A1A8517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4" w15:restartNumberingAfterBreak="0">
    <w:nsid w:val="6F33443B"/>
    <w:multiLevelType w:val="multilevel"/>
    <w:tmpl w:val="A55E803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5" w15:restartNumberingAfterBreak="0">
    <w:nsid w:val="76E04776"/>
    <w:multiLevelType w:val="multilevel"/>
    <w:tmpl w:val="6B680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C26CD5"/>
    <w:multiLevelType w:val="multilevel"/>
    <w:tmpl w:val="F5D474B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7" w15:restartNumberingAfterBreak="0">
    <w:nsid w:val="78E130E6"/>
    <w:multiLevelType w:val="multilevel"/>
    <w:tmpl w:val="6C685E6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8" w15:restartNumberingAfterBreak="0">
    <w:nsid w:val="7CAE67B4"/>
    <w:multiLevelType w:val="multilevel"/>
    <w:tmpl w:val="4F1C6C3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9" w15:restartNumberingAfterBreak="0">
    <w:nsid w:val="7ED75BAD"/>
    <w:multiLevelType w:val="multilevel"/>
    <w:tmpl w:val="94AC130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3"/>
  </w:num>
  <w:num w:numId="2">
    <w:abstractNumId w:val="16"/>
  </w:num>
  <w:num w:numId="3">
    <w:abstractNumId w:val="14"/>
  </w:num>
  <w:num w:numId="4">
    <w:abstractNumId w:val="11"/>
  </w:num>
  <w:num w:numId="5">
    <w:abstractNumId w:val="9"/>
  </w:num>
  <w:num w:numId="6">
    <w:abstractNumId w:val="0"/>
  </w:num>
  <w:num w:numId="7">
    <w:abstractNumId w:val="4"/>
  </w:num>
  <w:num w:numId="8">
    <w:abstractNumId w:val="25"/>
  </w:num>
  <w:num w:numId="9">
    <w:abstractNumId w:val="27"/>
  </w:num>
  <w:num w:numId="10">
    <w:abstractNumId w:val="17"/>
  </w:num>
  <w:num w:numId="11">
    <w:abstractNumId w:val="1"/>
  </w:num>
  <w:num w:numId="12">
    <w:abstractNumId w:val="13"/>
  </w:num>
  <w:num w:numId="13">
    <w:abstractNumId w:val="5"/>
  </w:num>
  <w:num w:numId="14">
    <w:abstractNumId w:val="24"/>
  </w:num>
  <w:num w:numId="15">
    <w:abstractNumId w:val="20"/>
  </w:num>
  <w:num w:numId="16">
    <w:abstractNumId w:val="28"/>
  </w:num>
  <w:num w:numId="17">
    <w:abstractNumId w:val="26"/>
  </w:num>
  <w:num w:numId="18">
    <w:abstractNumId w:val="15"/>
  </w:num>
  <w:num w:numId="19">
    <w:abstractNumId w:val="7"/>
  </w:num>
  <w:num w:numId="20">
    <w:abstractNumId w:val="12"/>
  </w:num>
  <w:num w:numId="21">
    <w:abstractNumId w:val="8"/>
  </w:num>
  <w:num w:numId="22">
    <w:abstractNumId w:val="10"/>
  </w:num>
  <w:num w:numId="23">
    <w:abstractNumId w:val="22"/>
  </w:num>
  <w:num w:numId="24">
    <w:abstractNumId w:val="19"/>
  </w:num>
  <w:num w:numId="25">
    <w:abstractNumId w:val="23"/>
  </w:num>
  <w:num w:numId="26">
    <w:abstractNumId w:val="21"/>
  </w:num>
  <w:num w:numId="27">
    <w:abstractNumId w:val="29"/>
  </w:num>
  <w:num w:numId="28">
    <w:abstractNumId w:val="6"/>
  </w:num>
  <w:num w:numId="29">
    <w:abstractNumId w:val="18"/>
  </w:num>
  <w:num w:numId="30">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1F10"/>
    <w:rsid w:val="00000ADC"/>
    <w:rsid w:val="00032A30"/>
    <w:rsid w:val="00034DEC"/>
    <w:rsid w:val="00066F66"/>
    <w:rsid w:val="000755AF"/>
    <w:rsid w:val="0007611C"/>
    <w:rsid w:val="000762A5"/>
    <w:rsid w:val="00083A96"/>
    <w:rsid w:val="00084C26"/>
    <w:rsid w:val="00087CD3"/>
    <w:rsid w:val="00087E6E"/>
    <w:rsid w:val="00091F10"/>
    <w:rsid w:val="000A1A6E"/>
    <w:rsid w:val="000A3404"/>
    <w:rsid w:val="000A5E2B"/>
    <w:rsid w:val="000A6E3B"/>
    <w:rsid w:val="000C11B8"/>
    <w:rsid w:val="000C40F4"/>
    <w:rsid w:val="000D320B"/>
    <w:rsid w:val="001003AC"/>
    <w:rsid w:val="00100B4F"/>
    <w:rsid w:val="00117EDD"/>
    <w:rsid w:val="00127318"/>
    <w:rsid w:val="00130728"/>
    <w:rsid w:val="00147283"/>
    <w:rsid w:val="00155492"/>
    <w:rsid w:val="00165EAC"/>
    <w:rsid w:val="00173517"/>
    <w:rsid w:val="00182DD9"/>
    <w:rsid w:val="00186417"/>
    <w:rsid w:val="00191567"/>
    <w:rsid w:val="00191F27"/>
    <w:rsid w:val="001A0EBA"/>
    <w:rsid w:val="001A2C78"/>
    <w:rsid w:val="001A2D0A"/>
    <w:rsid w:val="001B0E7B"/>
    <w:rsid w:val="001D286B"/>
    <w:rsid w:val="001D4E60"/>
    <w:rsid w:val="001E7A9E"/>
    <w:rsid w:val="00200F91"/>
    <w:rsid w:val="00204C9E"/>
    <w:rsid w:val="00206A5A"/>
    <w:rsid w:val="00220EC6"/>
    <w:rsid w:val="002220ED"/>
    <w:rsid w:val="00231A09"/>
    <w:rsid w:val="00241E4C"/>
    <w:rsid w:val="002519DC"/>
    <w:rsid w:val="0025694F"/>
    <w:rsid w:val="00262BB4"/>
    <w:rsid w:val="00263890"/>
    <w:rsid w:val="00266F7C"/>
    <w:rsid w:val="00274573"/>
    <w:rsid w:val="00283DAE"/>
    <w:rsid w:val="00287BCE"/>
    <w:rsid w:val="0029246B"/>
    <w:rsid w:val="0029512B"/>
    <w:rsid w:val="00295CEC"/>
    <w:rsid w:val="002B1203"/>
    <w:rsid w:val="002B2DCE"/>
    <w:rsid w:val="002C14AE"/>
    <w:rsid w:val="002D465B"/>
    <w:rsid w:val="002E2C73"/>
    <w:rsid w:val="002F579D"/>
    <w:rsid w:val="002F7624"/>
    <w:rsid w:val="003024A4"/>
    <w:rsid w:val="003038D8"/>
    <w:rsid w:val="00306AF7"/>
    <w:rsid w:val="00312CD8"/>
    <w:rsid w:val="003205A4"/>
    <w:rsid w:val="0032226F"/>
    <w:rsid w:val="00327654"/>
    <w:rsid w:val="00331900"/>
    <w:rsid w:val="00333C17"/>
    <w:rsid w:val="00346DB5"/>
    <w:rsid w:val="00347BE7"/>
    <w:rsid w:val="00360FB3"/>
    <w:rsid w:val="003760AD"/>
    <w:rsid w:val="00384795"/>
    <w:rsid w:val="00392594"/>
    <w:rsid w:val="003950A4"/>
    <w:rsid w:val="003B0384"/>
    <w:rsid w:val="003B754F"/>
    <w:rsid w:val="003D0A78"/>
    <w:rsid w:val="003D4F9D"/>
    <w:rsid w:val="003E3469"/>
    <w:rsid w:val="00403032"/>
    <w:rsid w:val="00405A9A"/>
    <w:rsid w:val="00411228"/>
    <w:rsid w:val="00425CE7"/>
    <w:rsid w:val="00426F80"/>
    <w:rsid w:val="00445320"/>
    <w:rsid w:val="00445D17"/>
    <w:rsid w:val="00463242"/>
    <w:rsid w:val="004748D5"/>
    <w:rsid w:val="0047606D"/>
    <w:rsid w:val="004763FD"/>
    <w:rsid w:val="0048019E"/>
    <w:rsid w:val="00487990"/>
    <w:rsid w:val="004B67B6"/>
    <w:rsid w:val="004E1D52"/>
    <w:rsid w:val="00514E1B"/>
    <w:rsid w:val="00521FC8"/>
    <w:rsid w:val="005223B1"/>
    <w:rsid w:val="00532FE0"/>
    <w:rsid w:val="00536B2F"/>
    <w:rsid w:val="005528F7"/>
    <w:rsid w:val="00573F93"/>
    <w:rsid w:val="005A2912"/>
    <w:rsid w:val="005A7597"/>
    <w:rsid w:val="005B29B8"/>
    <w:rsid w:val="005B466D"/>
    <w:rsid w:val="005B6B16"/>
    <w:rsid w:val="005C57BF"/>
    <w:rsid w:val="005F031A"/>
    <w:rsid w:val="00610BA8"/>
    <w:rsid w:val="00614BEA"/>
    <w:rsid w:val="00620EB4"/>
    <w:rsid w:val="00624B41"/>
    <w:rsid w:val="00636056"/>
    <w:rsid w:val="00644062"/>
    <w:rsid w:val="006458E5"/>
    <w:rsid w:val="00650313"/>
    <w:rsid w:val="00666895"/>
    <w:rsid w:val="00673373"/>
    <w:rsid w:val="006765D5"/>
    <w:rsid w:val="00686510"/>
    <w:rsid w:val="00695EAF"/>
    <w:rsid w:val="006A373B"/>
    <w:rsid w:val="006B0851"/>
    <w:rsid w:val="006B0CAE"/>
    <w:rsid w:val="006C0909"/>
    <w:rsid w:val="006C0AAA"/>
    <w:rsid w:val="006C3ABB"/>
    <w:rsid w:val="006C45A7"/>
    <w:rsid w:val="006F3CAF"/>
    <w:rsid w:val="00716B20"/>
    <w:rsid w:val="00717E69"/>
    <w:rsid w:val="00717F3F"/>
    <w:rsid w:val="0072164D"/>
    <w:rsid w:val="00722B8B"/>
    <w:rsid w:val="007467AA"/>
    <w:rsid w:val="00750516"/>
    <w:rsid w:val="00753219"/>
    <w:rsid w:val="0076617B"/>
    <w:rsid w:val="007732E5"/>
    <w:rsid w:val="00776864"/>
    <w:rsid w:val="00777B79"/>
    <w:rsid w:val="0078198B"/>
    <w:rsid w:val="00793ACB"/>
    <w:rsid w:val="00797AE4"/>
    <w:rsid w:val="007A16DD"/>
    <w:rsid w:val="007B55ED"/>
    <w:rsid w:val="007B6012"/>
    <w:rsid w:val="007C1FF8"/>
    <w:rsid w:val="007C3987"/>
    <w:rsid w:val="007D14D4"/>
    <w:rsid w:val="007F432B"/>
    <w:rsid w:val="008259B2"/>
    <w:rsid w:val="008429C4"/>
    <w:rsid w:val="00864849"/>
    <w:rsid w:val="00865E6B"/>
    <w:rsid w:val="00873BD9"/>
    <w:rsid w:val="00874556"/>
    <w:rsid w:val="00891CB6"/>
    <w:rsid w:val="008938B6"/>
    <w:rsid w:val="008B44AF"/>
    <w:rsid w:val="008C1E18"/>
    <w:rsid w:val="008D1D5A"/>
    <w:rsid w:val="008E5292"/>
    <w:rsid w:val="0090085E"/>
    <w:rsid w:val="0090501D"/>
    <w:rsid w:val="009064D1"/>
    <w:rsid w:val="00915F3F"/>
    <w:rsid w:val="00936263"/>
    <w:rsid w:val="00936C42"/>
    <w:rsid w:val="00937CCF"/>
    <w:rsid w:val="00974B12"/>
    <w:rsid w:val="00990C57"/>
    <w:rsid w:val="009A06BA"/>
    <w:rsid w:val="009D0611"/>
    <w:rsid w:val="009E4865"/>
    <w:rsid w:val="009F7011"/>
    <w:rsid w:val="00A00418"/>
    <w:rsid w:val="00A1396F"/>
    <w:rsid w:val="00A1676C"/>
    <w:rsid w:val="00A21771"/>
    <w:rsid w:val="00A52349"/>
    <w:rsid w:val="00A76D2A"/>
    <w:rsid w:val="00A85EB0"/>
    <w:rsid w:val="00AA7857"/>
    <w:rsid w:val="00AB5277"/>
    <w:rsid w:val="00AC5640"/>
    <w:rsid w:val="00AE1747"/>
    <w:rsid w:val="00B051DF"/>
    <w:rsid w:val="00B06B15"/>
    <w:rsid w:val="00B3193E"/>
    <w:rsid w:val="00B320F0"/>
    <w:rsid w:val="00B35949"/>
    <w:rsid w:val="00B47E32"/>
    <w:rsid w:val="00B67B49"/>
    <w:rsid w:val="00B8090A"/>
    <w:rsid w:val="00B83695"/>
    <w:rsid w:val="00BA2DF8"/>
    <w:rsid w:val="00BC5AEA"/>
    <w:rsid w:val="00BD1683"/>
    <w:rsid w:val="00BD51FA"/>
    <w:rsid w:val="00BE5012"/>
    <w:rsid w:val="00BE7A94"/>
    <w:rsid w:val="00BF267B"/>
    <w:rsid w:val="00BF56A4"/>
    <w:rsid w:val="00BF6A3C"/>
    <w:rsid w:val="00C01F64"/>
    <w:rsid w:val="00C05008"/>
    <w:rsid w:val="00C2059B"/>
    <w:rsid w:val="00C2360B"/>
    <w:rsid w:val="00C33C6E"/>
    <w:rsid w:val="00C35A5F"/>
    <w:rsid w:val="00C44A0A"/>
    <w:rsid w:val="00C51345"/>
    <w:rsid w:val="00C51E95"/>
    <w:rsid w:val="00C52EFD"/>
    <w:rsid w:val="00C56C00"/>
    <w:rsid w:val="00C8328E"/>
    <w:rsid w:val="00C87229"/>
    <w:rsid w:val="00CA08C7"/>
    <w:rsid w:val="00CB4708"/>
    <w:rsid w:val="00CD2BFE"/>
    <w:rsid w:val="00CD5F2C"/>
    <w:rsid w:val="00CE1526"/>
    <w:rsid w:val="00CF07C5"/>
    <w:rsid w:val="00CF1A3C"/>
    <w:rsid w:val="00CF30B3"/>
    <w:rsid w:val="00D03CC9"/>
    <w:rsid w:val="00D062D2"/>
    <w:rsid w:val="00D133C5"/>
    <w:rsid w:val="00D21428"/>
    <w:rsid w:val="00D2620A"/>
    <w:rsid w:val="00D4406D"/>
    <w:rsid w:val="00D54B00"/>
    <w:rsid w:val="00D85A45"/>
    <w:rsid w:val="00DA4550"/>
    <w:rsid w:val="00DB1050"/>
    <w:rsid w:val="00DC1BB9"/>
    <w:rsid w:val="00DD1CCD"/>
    <w:rsid w:val="00DD7426"/>
    <w:rsid w:val="00E15AF4"/>
    <w:rsid w:val="00E21316"/>
    <w:rsid w:val="00E21ECB"/>
    <w:rsid w:val="00E230C6"/>
    <w:rsid w:val="00E45273"/>
    <w:rsid w:val="00E46DE7"/>
    <w:rsid w:val="00E5095C"/>
    <w:rsid w:val="00E53B36"/>
    <w:rsid w:val="00E53EFF"/>
    <w:rsid w:val="00E8207F"/>
    <w:rsid w:val="00E8582B"/>
    <w:rsid w:val="00E935D9"/>
    <w:rsid w:val="00EA24A5"/>
    <w:rsid w:val="00EC1843"/>
    <w:rsid w:val="00EC29CB"/>
    <w:rsid w:val="00EC5254"/>
    <w:rsid w:val="00ED3A3F"/>
    <w:rsid w:val="00ED6135"/>
    <w:rsid w:val="00EE610C"/>
    <w:rsid w:val="00F07934"/>
    <w:rsid w:val="00F13BEA"/>
    <w:rsid w:val="00F16D0E"/>
    <w:rsid w:val="00F41C11"/>
    <w:rsid w:val="00F6010F"/>
    <w:rsid w:val="00FA4E38"/>
    <w:rsid w:val="00FA6759"/>
    <w:rsid w:val="00FB05B1"/>
    <w:rsid w:val="00FB6940"/>
    <w:rsid w:val="00FC1FD4"/>
    <w:rsid w:val="00FD112B"/>
    <w:rsid w:val="00FD26C6"/>
    <w:rsid w:val="00FE614F"/>
    <w:rsid w:val="00FF0680"/>
    <w:rsid w:val="00FF3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23F596DC-A9AC-4FAE-A803-9CC32D711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cs="Times New Roman"/>
      <w:lang w:val="bg-BG"/>
    </w:rPr>
  </w:style>
  <w:style w:type="paragraph" w:styleId="1">
    <w:name w:val="heading 1"/>
    <w:basedOn w:val="a"/>
    <w:next w:val="a"/>
    <w:link w:val="10"/>
    <w:uiPriority w:val="9"/>
    <w:qFormat/>
    <w:rsid w:val="007B55ED"/>
    <w:pPr>
      <w:keepNext/>
      <w:keepLines/>
      <w:spacing w:before="240"/>
      <w:outlineLvl w:val="0"/>
    </w:pPr>
    <w:rPr>
      <w:rFonts w:ascii="Times New Roman" w:hAnsi="Times New Roman"/>
      <w:b/>
      <w:color w:val="548DD4"/>
      <w:sz w:val="28"/>
      <w:szCs w:val="32"/>
      <w:lang w:val="en" w:eastAsia="zh-CN"/>
    </w:rPr>
  </w:style>
  <w:style w:type="paragraph" w:styleId="2">
    <w:name w:val="heading 2"/>
    <w:basedOn w:val="a"/>
    <w:next w:val="a"/>
    <w:link w:val="20"/>
    <w:uiPriority w:val="9"/>
    <w:unhideWhenUsed/>
    <w:qFormat/>
    <w:rsid w:val="007B55ED"/>
    <w:pPr>
      <w:keepNext/>
      <w:keepLines/>
      <w:spacing w:before="40"/>
      <w:outlineLvl w:val="1"/>
    </w:pPr>
    <w:rPr>
      <w:rFonts w:ascii="Times New Roman" w:hAnsi="Times New Roman"/>
      <w:b/>
      <w:color w:val="365F91"/>
      <w:sz w:val="28"/>
      <w:szCs w:val="26"/>
      <w:lang w:val="en-US" w:eastAsia="bg-BG"/>
    </w:rPr>
  </w:style>
  <w:style w:type="paragraph" w:styleId="3">
    <w:name w:val="heading 3"/>
    <w:basedOn w:val="a"/>
    <w:next w:val="a"/>
    <w:link w:val="30"/>
    <w:uiPriority w:val="9"/>
    <w:unhideWhenUsed/>
    <w:qFormat/>
    <w:rsid w:val="007B55ED"/>
    <w:pPr>
      <w:keepNext/>
      <w:keepLines/>
      <w:spacing w:before="40"/>
      <w:outlineLvl w:val="2"/>
    </w:pPr>
    <w:rPr>
      <w:rFonts w:ascii="Times New Roman" w:hAnsi="Times New Roman"/>
      <w:b/>
      <w:sz w:val="24"/>
      <w:szCs w:val="24"/>
      <w:lang w:val="en-US" w:eastAsia="bg-BG"/>
    </w:rPr>
  </w:style>
  <w:style w:type="paragraph" w:styleId="4">
    <w:name w:val="heading 4"/>
    <w:basedOn w:val="a"/>
    <w:next w:val="a"/>
    <w:link w:val="40"/>
    <w:uiPriority w:val="9"/>
    <w:unhideWhenUsed/>
    <w:qFormat/>
    <w:rsid w:val="007B55ED"/>
    <w:pPr>
      <w:keepNext/>
      <w:keepLines/>
      <w:spacing w:before="40"/>
      <w:outlineLvl w:val="3"/>
    </w:pPr>
    <w:rPr>
      <w:rFonts w:ascii="Cambria" w:hAnsi="Cambria"/>
      <w:i/>
      <w:iCs/>
      <w:color w:val="365F91"/>
      <w:sz w:val="24"/>
      <w:szCs w:val="24"/>
      <w:lang w:val="en-US" w:eastAsia="bg-BG"/>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locked/>
    <w:rsid w:val="007B55ED"/>
    <w:rPr>
      <w:rFonts w:ascii="Times New Roman" w:hAnsi="Times New Roman" w:cs="Times New Roman"/>
      <w:b/>
      <w:color w:val="548DD4"/>
      <w:sz w:val="32"/>
      <w:szCs w:val="32"/>
      <w:lang w:val="en" w:eastAsia="zh-CN"/>
    </w:rPr>
  </w:style>
  <w:style w:type="character" w:customStyle="1" w:styleId="20">
    <w:name w:val="Заглавие 2 Знак"/>
    <w:basedOn w:val="a0"/>
    <w:link w:val="2"/>
    <w:uiPriority w:val="9"/>
    <w:locked/>
    <w:rsid w:val="007B55ED"/>
    <w:rPr>
      <w:rFonts w:ascii="Times New Roman" w:hAnsi="Times New Roman" w:cs="Times New Roman"/>
      <w:b/>
      <w:color w:val="365F91"/>
      <w:sz w:val="26"/>
      <w:szCs w:val="26"/>
      <w:lang w:val="x-none" w:eastAsia="bg-BG"/>
    </w:rPr>
  </w:style>
  <w:style w:type="character" w:customStyle="1" w:styleId="30">
    <w:name w:val="Заглавие 3 Знак"/>
    <w:basedOn w:val="a0"/>
    <w:link w:val="3"/>
    <w:uiPriority w:val="9"/>
    <w:locked/>
    <w:rsid w:val="007B55ED"/>
    <w:rPr>
      <w:rFonts w:ascii="Times New Roman" w:hAnsi="Times New Roman" w:cs="Times New Roman"/>
      <w:b/>
      <w:sz w:val="24"/>
      <w:szCs w:val="24"/>
      <w:lang w:val="x-none" w:eastAsia="bg-BG"/>
    </w:rPr>
  </w:style>
  <w:style w:type="character" w:customStyle="1" w:styleId="40">
    <w:name w:val="Заглавие 4 Знак"/>
    <w:basedOn w:val="a0"/>
    <w:link w:val="4"/>
    <w:uiPriority w:val="9"/>
    <w:locked/>
    <w:rsid w:val="007B55ED"/>
    <w:rPr>
      <w:rFonts w:ascii="Cambria" w:hAnsi="Cambria" w:cs="Times New Roman"/>
      <w:i/>
      <w:iCs/>
      <w:color w:val="365F91"/>
      <w:sz w:val="24"/>
      <w:szCs w:val="24"/>
      <w:lang w:val="x-none" w:eastAsia="bg-BG"/>
    </w:rPr>
  </w:style>
  <w:style w:type="paragraph" w:styleId="a3">
    <w:name w:val="List Paragraph"/>
    <w:basedOn w:val="a"/>
    <w:uiPriority w:val="34"/>
    <w:qFormat/>
    <w:rsid w:val="00A76D2A"/>
    <w:pPr>
      <w:ind w:left="720"/>
      <w:contextualSpacing/>
    </w:pPr>
  </w:style>
  <w:style w:type="paragraph" w:styleId="HTML">
    <w:name w:val="HTML Preformatted"/>
    <w:basedOn w:val="a"/>
    <w:link w:val="HTML0"/>
    <w:uiPriority w:val="99"/>
    <w:unhideWhenUsed/>
    <w:rsid w:val="00A76D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hAnsi="Courier New" w:cs="Courier New"/>
      <w:sz w:val="20"/>
      <w:szCs w:val="20"/>
      <w:lang w:eastAsia="bg-BG"/>
    </w:rPr>
  </w:style>
  <w:style w:type="character" w:customStyle="1" w:styleId="HTML0">
    <w:name w:val="HTML стандартен Знак"/>
    <w:basedOn w:val="a0"/>
    <w:link w:val="HTML"/>
    <w:uiPriority w:val="99"/>
    <w:locked/>
    <w:rsid w:val="00A76D2A"/>
    <w:rPr>
      <w:rFonts w:ascii="Courier New" w:hAnsi="Courier New" w:cs="Courier New"/>
      <w:sz w:val="20"/>
      <w:szCs w:val="20"/>
      <w:lang w:val="bg-BG" w:eastAsia="bg-BG"/>
    </w:rPr>
  </w:style>
  <w:style w:type="paragraph" w:customStyle="1" w:styleId="11">
    <w:name w:val="Заглавие 11"/>
    <w:basedOn w:val="a"/>
    <w:next w:val="a"/>
    <w:qFormat/>
    <w:rsid w:val="007B55ED"/>
    <w:pPr>
      <w:keepNext/>
      <w:keepLines/>
      <w:numPr>
        <w:numId w:val="1"/>
      </w:numPr>
      <w:suppressAutoHyphens/>
      <w:ind w:left="238"/>
      <w:jc w:val="center"/>
      <w:outlineLvl w:val="0"/>
    </w:pPr>
    <w:rPr>
      <w:rFonts w:ascii="Times New Roman" w:hAnsi="Times New Roman"/>
      <w:b/>
      <w:color w:val="548DD4"/>
      <w:sz w:val="28"/>
      <w:szCs w:val="32"/>
      <w:lang w:val="en" w:eastAsia="zh-CN"/>
    </w:rPr>
  </w:style>
  <w:style w:type="paragraph" w:customStyle="1" w:styleId="21">
    <w:name w:val="Заглавие 21"/>
    <w:basedOn w:val="a"/>
    <w:next w:val="a"/>
    <w:uiPriority w:val="9"/>
    <w:unhideWhenUsed/>
    <w:qFormat/>
    <w:rsid w:val="007B55ED"/>
    <w:pPr>
      <w:keepNext/>
      <w:keepLines/>
      <w:spacing w:before="40"/>
      <w:ind w:firstLine="0"/>
      <w:jc w:val="center"/>
      <w:outlineLvl w:val="1"/>
    </w:pPr>
    <w:rPr>
      <w:rFonts w:ascii="Times New Roman" w:hAnsi="Times New Roman"/>
      <w:b/>
      <w:color w:val="365F91"/>
      <w:sz w:val="28"/>
      <w:szCs w:val="26"/>
      <w:lang w:eastAsia="bg-BG"/>
    </w:rPr>
  </w:style>
  <w:style w:type="paragraph" w:customStyle="1" w:styleId="31">
    <w:name w:val="Заглавие 31"/>
    <w:basedOn w:val="a"/>
    <w:next w:val="a"/>
    <w:uiPriority w:val="9"/>
    <w:unhideWhenUsed/>
    <w:qFormat/>
    <w:rsid w:val="007B55ED"/>
    <w:pPr>
      <w:keepNext/>
      <w:keepLines/>
      <w:spacing w:before="40"/>
      <w:ind w:firstLine="0"/>
      <w:jc w:val="center"/>
      <w:outlineLvl w:val="2"/>
    </w:pPr>
    <w:rPr>
      <w:rFonts w:ascii="Times New Roman" w:hAnsi="Times New Roman"/>
      <w:b/>
      <w:sz w:val="24"/>
      <w:szCs w:val="24"/>
      <w:lang w:eastAsia="bg-BG"/>
    </w:rPr>
  </w:style>
  <w:style w:type="paragraph" w:customStyle="1" w:styleId="41">
    <w:name w:val="Заглавие 41"/>
    <w:basedOn w:val="a"/>
    <w:next w:val="a"/>
    <w:uiPriority w:val="9"/>
    <w:unhideWhenUsed/>
    <w:qFormat/>
    <w:rsid w:val="007B55ED"/>
    <w:pPr>
      <w:keepNext/>
      <w:keepLines/>
      <w:spacing w:before="40" w:line="240" w:lineRule="auto"/>
      <w:ind w:firstLine="0"/>
      <w:jc w:val="left"/>
      <w:outlineLvl w:val="3"/>
    </w:pPr>
    <w:rPr>
      <w:rFonts w:ascii="Cambria" w:hAnsi="Cambria"/>
      <w:i/>
      <w:iCs/>
      <w:color w:val="365F91"/>
      <w:sz w:val="24"/>
      <w:szCs w:val="24"/>
      <w:lang w:eastAsia="bg-BG"/>
    </w:rPr>
  </w:style>
  <w:style w:type="character" w:customStyle="1" w:styleId="style5">
    <w:name w:val="style5"/>
    <w:basedOn w:val="a0"/>
    <w:rsid w:val="007B55ED"/>
    <w:rPr>
      <w:rFonts w:cs="Times New Roman"/>
    </w:rPr>
  </w:style>
  <w:style w:type="character" w:styleId="HTML1">
    <w:name w:val="HTML Cite"/>
    <w:basedOn w:val="a0"/>
    <w:uiPriority w:val="99"/>
    <w:unhideWhenUsed/>
    <w:rsid w:val="007B55ED"/>
    <w:rPr>
      <w:rFonts w:cs="Times New Roman"/>
      <w:i/>
      <w:iCs/>
    </w:rPr>
  </w:style>
  <w:style w:type="character" w:customStyle="1" w:styleId="author">
    <w:name w:val="author"/>
    <w:basedOn w:val="a0"/>
    <w:rsid w:val="007B55ED"/>
    <w:rPr>
      <w:rFonts w:cs="Times New Roman"/>
    </w:rPr>
  </w:style>
  <w:style w:type="table" w:styleId="a4">
    <w:name w:val="Table Grid"/>
    <w:basedOn w:val="a1"/>
    <w:uiPriority w:val="59"/>
    <w:rsid w:val="007B55ED"/>
    <w:pPr>
      <w:spacing w:line="240" w:lineRule="auto"/>
      <w:ind w:firstLine="0"/>
      <w:jc w:val="left"/>
    </w:pPr>
    <w:rPr>
      <w:rFonts w:cs="Times New Roman"/>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7B55ED"/>
    <w:rPr>
      <w:rFonts w:cs="Times New Roman"/>
      <w:color w:val="0000FF"/>
      <w:u w:val="single"/>
    </w:rPr>
  </w:style>
  <w:style w:type="paragraph" w:styleId="a6">
    <w:name w:val="Balloon Text"/>
    <w:basedOn w:val="a"/>
    <w:link w:val="a7"/>
    <w:uiPriority w:val="99"/>
    <w:semiHidden/>
    <w:unhideWhenUsed/>
    <w:rsid w:val="007B55ED"/>
    <w:pPr>
      <w:spacing w:line="240" w:lineRule="auto"/>
      <w:ind w:firstLine="0"/>
      <w:jc w:val="left"/>
    </w:pPr>
    <w:rPr>
      <w:rFonts w:ascii="Tahoma" w:hAnsi="Tahoma" w:cs="Tahoma"/>
      <w:sz w:val="16"/>
      <w:szCs w:val="16"/>
      <w:lang w:eastAsia="bg-BG"/>
    </w:rPr>
  </w:style>
  <w:style w:type="character" w:customStyle="1" w:styleId="a7">
    <w:name w:val="Изнесен текст Знак"/>
    <w:basedOn w:val="a0"/>
    <w:link w:val="a6"/>
    <w:uiPriority w:val="99"/>
    <w:semiHidden/>
    <w:locked/>
    <w:rsid w:val="007B55ED"/>
    <w:rPr>
      <w:rFonts w:ascii="Tahoma" w:hAnsi="Tahoma" w:cs="Tahoma"/>
      <w:sz w:val="16"/>
      <w:szCs w:val="16"/>
      <w:lang w:val="bg-BG" w:eastAsia="bg-BG"/>
    </w:rPr>
  </w:style>
  <w:style w:type="paragraph" w:styleId="a8">
    <w:name w:val="header"/>
    <w:basedOn w:val="a"/>
    <w:link w:val="a9"/>
    <w:uiPriority w:val="99"/>
    <w:unhideWhenUsed/>
    <w:rsid w:val="007B55ED"/>
    <w:pPr>
      <w:tabs>
        <w:tab w:val="center" w:pos="4536"/>
        <w:tab w:val="right" w:pos="9072"/>
      </w:tabs>
      <w:spacing w:line="240" w:lineRule="auto"/>
      <w:ind w:firstLine="0"/>
      <w:jc w:val="left"/>
    </w:pPr>
    <w:rPr>
      <w:rFonts w:ascii="Times New Roman" w:hAnsi="Times New Roman"/>
      <w:sz w:val="24"/>
      <w:szCs w:val="24"/>
      <w:lang w:eastAsia="bg-BG"/>
    </w:rPr>
  </w:style>
  <w:style w:type="character" w:customStyle="1" w:styleId="a9">
    <w:name w:val="Горен колонтитул Знак"/>
    <w:basedOn w:val="a0"/>
    <w:link w:val="a8"/>
    <w:uiPriority w:val="99"/>
    <w:locked/>
    <w:rsid w:val="007B55ED"/>
    <w:rPr>
      <w:rFonts w:ascii="Times New Roman" w:hAnsi="Times New Roman" w:cs="Times New Roman"/>
      <w:sz w:val="24"/>
      <w:szCs w:val="24"/>
      <w:lang w:val="bg-BG" w:eastAsia="bg-BG"/>
    </w:rPr>
  </w:style>
  <w:style w:type="paragraph" w:styleId="aa">
    <w:name w:val="footer"/>
    <w:basedOn w:val="a"/>
    <w:link w:val="ab"/>
    <w:uiPriority w:val="99"/>
    <w:unhideWhenUsed/>
    <w:rsid w:val="007B55ED"/>
    <w:pPr>
      <w:tabs>
        <w:tab w:val="center" w:pos="4536"/>
        <w:tab w:val="right" w:pos="9072"/>
      </w:tabs>
      <w:spacing w:line="240" w:lineRule="auto"/>
      <w:ind w:firstLine="0"/>
      <w:jc w:val="left"/>
    </w:pPr>
    <w:rPr>
      <w:rFonts w:ascii="Times New Roman" w:hAnsi="Times New Roman"/>
      <w:sz w:val="24"/>
      <w:szCs w:val="24"/>
      <w:lang w:eastAsia="bg-BG"/>
    </w:rPr>
  </w:style>
  <w:style w:type="character" w:customStyle="1" w:styleId="ab">
    <w:name w:val="Долен колонтитул Знак"/>
    <w:basedOn w:val="a0"/>
    <w:link w:val="aa"/>
    <w:uiPriority w:val="99"/>
    <w:locked/>
    <w:rsid w:val="007B55ED"/>
    <w:rPr>
      <w:rFonts w:ascii="Times New Roman" w:hAnsi="Times New Roman" w:cs="Times New Roman"/>
      <w:sz w:val="24"/>
      <w:szCs w:val="24"/>
      <w:lang w:val="bg-BG" w:eastAsia="bg-BG"/>
    </w:rPr>
  </w:style>
  <w:style w:type="character" w:customStyle="1" w:styleId="reference">
    <w:name w:val="reference"/>
    <w:rsid w:val="007B55ED"/>
  </w:style>
  <w:style w:type="character" w:customStyle="1" w:styleId="name">
    <w:name w:val="name"/>
    <w:rsid w:val="007B55ED"/>
  </w:style>
  <w:style w:type="character" w:customStyle="1" w:styleId="st1">
    <w:name w:val="st1"/>
    <w:uiPriority w:val="99"/>
    <w:rsid w:val="007B55ED"/>
  </w:style>
  <w:style w:type="character" w:styleId="ac">
    <w:name w:val="Emphasis"/>
    <w:basedOn w:val="a0"/>
    <w:uiPriority w:val="20"/>
    <w:qFormat/>
    <w:rsid w:val="007B55ED"/>
    <w:rPr>
      <w:rFonts w:cs="Times New Roman"/>
      <w:i/>
      <w:iCs/>
    </w:rPr>
  </w:style>
  <w:style w:type="character" w:customStyle="1" w:styleId="st">
    <w:name w:val="st"/>
    <w:basedOn w:val="a0"/>
    <w:rsid w:val="007B55ED"/>
    <w:rPr>
      <w:rFonts w:cs="Times New Roman"/>
    </w:rPr>
  </w:style>
  <w:style w:type="paragraph" w:customStyle="1" w:styleId="Default">
    <w:name w:val="Default"/>
    <w:rsid w:val="007B55ED"/>
    <w:pPr>
      <w:autoSpaceDE w:val="0"/>
      <w:autoSpaceDN w:val="0"/>
      <w:adjustRightInd w:val="0"/>
      <w:spacing w:line="240" w:lineRule="auto"/>
      <w:ind w:firstLine="0"/>
      <w:jc w:val="left"/>
    </w:pPr>
    <w:rPr>
      <w:rFonts w:ascii="Times New Roman" w:hAnsi="Times New Roman" w:cs="Times New Roman"/>
      <w:color w:val="000000"/>
      <w:sz w:val="24"/>
      <w:szCs w:val="24"/>
      <w:lang w:val="bg-BG"/>
    </w:rPr>
  </w:style>
  <w:style w:type="character" w:customStyle="1" w:styleId="UnresolvedMention1">
    <w:name w:val="Unresolved Mention1"/>
    <w:basedOn w:val="a0"/>
    <w:uiPriority w:val="99"/>
    <w:semiHidden/>
    <w:unhideWhenUsed/>
    <w:rsid w:val="007B55ED"/>
    <w:rPr>
      <w:rFonts w:cs="Times New Roman"/>
      <w:color w:val="605E5C"/>
      <w:shd w:val="clear" w:color="auto" w:fill="E1DFDD"/>
    </w:rPr>
  </w:style>
  <w:style w:type="paragraph" w:styleId="ad">
    <w:name w:val="Normal (Web)"/>
    <w:basedOn w:val="a"/>
    <w:uiPriority w:val="99"/>
    <w:unhideWhenUsed/>
    <w:rsid w:val="007B55ED"/>
    <w:pPr>
      <w:spacing w:before="100" w:beforeAutospacing="1" w:after="100" w:afterAutospacing="1" w:line="240" w:lineRule="auto"/>
      <w:ind w:firstLine="0"/>
      <w:jc w:val="left"/>
    </w:pPr>
    <w:rPr>
      <w:rFonts w:ascii="Times New Roman" w:hAnsi="Times New Roman"/>
      <w:sz w:val="24"/>
      <w:szCs w:val="24"/>
      <w:lang w:eastAsia="bg-BG"/>
    </w:rPr>
  </w:style>
  <w:style w:type="character" w:customStyle="1" w:styleId="apple-converted-space">
    <w:name w:val="apple-converted-space"/>
    <w:uiPriority w:val="99"/>
    <w:rsid w:val="007B55ED"/>
  </w:style>
  <w:style w:type="character" w:styleId="ae">
    <w:name w:val="annotation reference"/>
    <w:basedOn w:val="a0"/>
    <w:uiPriority w:val="99"/>
    <w:semiHidden/>
    <w:unhideWhenUsed/>
    <w:rsid w:val="007B55ED"/>
    <w:rPr>
      <w:rFonts w:cs="Times New Roman"/>
      <w:sz w:val="16"/>
      <w:szCs w:val="16"/>
    </w:rPr>
  </w:style>
  <w:style w:type="paragraph" w:styleId="af">
    <w:name w:val="annotation text"/>
    <w:basedOn w:val="a"/>
    <w:link w:val="af0"/>
    <w:uiPriority w:val="99"/>
    <w:semiHidden/>
    <w:unhideWhenUsed/>
    <w:rsid w:val="007B55ED"/>
    <w:pPr>
      <w:spacing w:line="240" w:lineRule="auto"/>
      <w:ind w:firstLine="0"/>
      <w:jc w:val="left"/>
    </w:pPr>
    <w:rPr>
      <w:rFonts w:ascii="Times New Roman" w:hAnsi="Times New Roman"/>
      <w:sz w:val="20"/>
      <w:szCs w:val="20"/>
      <w:lang w:eastAsia="bg-BG"/>
    </w:rPr>
  </w:style>
  <w:style w:type="character" w:customStyle="1" w:styleId="af0">
    <w:name w:val="Текст на коментар Знак"/>
    <w:basedOn w:val="a0"/>
    <w:link w:val="af"/>
    <w:uiPriority w:val="99"/>
    <w:semiHidden/>
    <w:locked/>
    <w:rsid w:val="007B55ED"/>
    <w:rPr>
      <w:rFonts w:ascii="Times New Roman" w:hAnsi="Times New Roman" w:cs="Times New Roman"/>
      <w:sz w:val="20"/>
      <w:szCs w:val="20"/>
      <w:lang w:val="bg-BG" w:eastAsia="bg-BG"/>
    </w:rPr>
  </w:style>
  <w:style w:type="paragraph" w:styleId="af1">
    <w:name w:val="annotation subject"/>
    <w:basedOn w:val="af"/>
    <w:next w:val="af"/>
    <w:link w:val="af2"/>
    <w:uiPriority w:val="99"/>
    <w:semiHidden/>
    <w:unhideWhenUsed/>
    <w:rsid w:val="007B55ED"/>
    <w:rPr>
      <w:b/>
      <w:bCs/>
    </w:rPr>
  </w:style>
  <w:style w:type="character" w:customStyle="1" w:styleId="af2">
    <w:name w:val="Предмет на коментар Знак"/>
    <w:basedOn w:val="af0"/>
    <w:link w:val="af1"/>
    <w:uiPriority w:val="99"/>
    <w:semiHidden/>
    <w:locked/>
    <w:rsid w:val="007B55ED"/>
    <w:rPr>
      <w:rFonts w:ascii="Times New Roman" w:hAnsi="Times New Roman" w:cs="Times New Roman"/>
      <w:b/>
      <w:bCs/>
      <w:sz w:val="20"/>
      <w:szCs w:val="20"/>
      <w:lang w:val="bg-BG" w:eastAsia="bg-BG"/>
    </w:rPr>
  </w:style>
  <w:style w:type="table" w:customStyle="1" w:styleId="TableGrid">
    <w:name w:val="TableGrid"/>
    <w:rsid w:val="007B55ED"/>
    <w:pPr>
      <w:spacing w:line="240" w:lineRule="auto"/>
      <w:ind w:firstLine="0"/>
      <w:jc w:val="left"/>
    </w:pPr>
    <w:rPr>
      <w:rFonts w:cs="Times New Roman"/>
      <w:lang w:val="bg-BG"/>
    </w:rPr>
    <w:tblPr>
      <w:tblCellMar>
        <w:top w:w="0" w:type="dxa"/>
        <w:left w:w="0" w:type="dxa"/>
        <w:bottom w:w="0" w:type="dxa"/>
        <w:right w:w="0" w:type="dxa"/>
      </w:tblCellMar>
    </w:tblPr>
  </w:style>
  <w:style w:type="character" w:customStyle="1" w:styleId="taxonname">
    <w:name w:val="taxonname"/>
    <w:basedOn w:val="a0"/>
    <w:rsid w:val="007B55ED"/>
    <w:rPr>
      <w:rFonts w:cs="Times New Roman"/>
    </w:rPr>
  </w:style>
  <w:style w:type="character" w:customStyle="1" w:styleId="rank">
    <w:name w:val="rank"/>
    <w:basedOn w:val="a0"/>
    <w:rsid w:val="007B55ED"/>
    <w:rPr>
      <w:rFonts w:cs="Times New Roman"/>
    </w:rPr>
  </w:style>
  <w:style w:type="character" w:customStyle="1" w:styleId="authors">
    <w:name w:val="authors"/>
    <w:basedOn w:val="a0"/>
    <w:rsid w:val="007B55ED"/>
    <w:rPr>
      <w:rFonts w:cs="Times New Roman"/>
    </w:rPr>
  </w:style>
  <w:style w:type="character" w:customStyle="1" w:styleId="acopre">
    <w:name w:val="acopre"/>
    <w:basedOn w:val="a0"/>
    <w:rsid w:val="007B55ED"/>
    <w:rPr>
      <w:rFonts w:cs="Times New Roman"/>
    </w:rPr>
  </w:style>
  <w:style w:type="character" w:customStyle="1" w:styleId="y2iqfc">
    <w:name w:val="y2iqfc"/>
    <w:basedOn w:val="a0"/>
    <w:rsid w:val="007B55ED"/>
    <w:rPr>
      <w:rFonts w:cs="Times New Roman"/>
    </w:rPr>
  </w:style>
  <w:style w:type="character" w:styleId="af3">
    <w:name w:val="Strong"/>
    <w:basedOn w:val="a0"/>
    <w:uiPriority w:val="22"/>
    <w:qFormat/>
    <w:rsid w:val="007B55ED"/>
    <w:rPr>
      <w:rFonts w:cs="Times New Roman"/>
      <w:b/>
      <w:bCs/>
    </w:rPr>
  </w:style>
  <w:style w:type="character" w:customStyle="1" w:styleId="jlqj4b">
    <w:name w:val="jlqj4b"/>
    <w:basedOn w:val="a0"/>
    <w:rsid w:val="007B55ED"/>
    <w:rPr>
      <w:rFonts w:cs="Times New Roman"/>
    </w:rPr>
  </w:style>
  <w:style w:type="character" w:customStyle="1" w:styleId="viiyi">
    <w:name w:val="viiyi"/>
    <w:basedOn w:val="a0"/>
    <w:rsid w:val="007B55ED"/>
    <w:rPr>
      <w:rFonts w:cs="Times New Roman"/>
    </w:rPr>
  </w:style>
  <w:style w:type="character" w:customStyle="1" w:styleId="12">
    <w:name w:val="Прегледана хипервръзка1"/>
    <w:basedOn w:val="a0"/>
    <w:uiPriority w:val="99"/>
    <w:semiHidden/>
    <w:unhideWhenUsed/>
    <w:rsid w:val="007B55ED"/>
    <w:rPr>
      <w:rFonts w:cs="Times New Roman"/>
      <w:color w:val="800080"/>
      <w:u w:val="single"/>
    </w:rPr>
  </w:style>
  <w:style w:type="character" w:customStyle="1" w:styleId="html-italic">
    <w:name w:val="html-italic"/>
    <w:basedOn w:val="a0"/>
    <w:rsid w:val="007B55ED"/>
    <w:rPr>
      <w:rFonts w:cs="Times New Roman"/>
    </w:rPr>
  </w:style>
  <w:style w:type="character" w:customStyle="1" w:styleId="sciprofiles-linkname">
    <w:name w:val="sciprofiles-link__name"/>
    <w:basedOn w:val="a0"/>
    <w:rsid w:val="007B55ED"/>
    <w:rPr>
      <w:rFonts w:cs="Times New Roman"/>
    </w:rPr>
  </w:style>
  <w:style w:type="character" w:customStyle="1" w:styleId="u-visually-hidden">
    <w:name w:val="u-visually-hidden"/>
    <w:basedOn w:val="a0"/>
    <w:rsid w:val="007B55ED"/>
    <w:rPr>
      <w:rFonts w:cs="Times New Roman"/>
    </w:rPr>
  </w:style>
  <w:style w:type="paragraph" w:customStyle="1" w:styleId="citation-author-list">
    <w:name w:val="citation-author-list"/>
    <w:basedOn w:val="a"/>
    <w:rsid w:val="007B55ED"/>
    <w:pPr>
      <w:spacing w:before="100" w:beforeAutospacing="1" w:after="100" w:afterAutospacing="1" w:line="240" w:lineRule="auto"/>
      <w:ind w:firstLine="0"/>
      <w:jc w:val="left"/>
    </w:pPr>
    <w:rPr>
      <w:rFonts w:ascii="Times New Roman" w:hAnsi="Times New Roman"/>
      <w:sz w:val="24"/>
      <w:szCs w:val="24"/>
      <w:lang w:eastAsia="bg-BG"/>
    </w:rPr>
  </w:style>
  <w:style w:type="character" w:customStyle="1" w:styleId="tn">
    <w:name w:val="tn"/>
    <w:basedOn w:val="a0"/>
    <w:rsid w:val="007B55ED"/>
    <w:rPr>
      <w:rFonts w:cs="Times New Roman"/>
    </w:rPr>
  </w:style>
  <w:style w:type="character" w:customStyle="1" w:styleId="genus">
    <w:name w:val="genus"/>
    <w:basedOn w:val="a0"/>
    <w:rsid w:val="007B55ED"/>
    <w:rPr>
      <w:rFonts w:cs="Times New Roman"/>
    </w:rPr>
  </w:style>
  <w:style w:type="character" w:customStyle="1" w:styleId="species">
    <w:name w:val="species"/>
    <w:basedOn w:val="a0"/>
    <w:rsid w:val="007B55ED"/>
    <w:rPr>
      <w:rFonts w:cs="Times New Roman"/>
    </w:rPr>
  </w:style>
  <w:style w:type="character" w:customStyle="1" w:styleId="source">
    <w:name w:val="source"/>
    <w:basedOn w:val="a0"/>
    <w:rsid w:val="007B55ED"/>
    <w:rPr>
      <w:rFonts w:cs="Times New Roman"/>
    </w:rPr>
  </w:style>
  <w:style w:type="character" w:customStyle="1" w:styleId="surname">
    <w:name w:val="surname"/>
    <w:basedOn w:val="a0"/>
    <w:rsid w:val="007B55ED"/>
    <w:rPr>
      <w:rFonts w:cs="Times New Roman"/>
    </w:rPr>
  </w:style>
  <w:style w:type="character" w:customStyle="1" w:styleId="given-names">
    <w:name w:val="given-names"/>
    <w:basedOn w:val="a0"/>
    <w:rsid w:val="007B55ED"/>
    <w:rPr>
      <w:rFonts w:cs="Times New Roman"/>
    </w:rPr>
  </w:style>
  <w:style w:type="character" w:customStyle="1" w:styleId="year">
    <w:name w:val="year"/>
    <w:basedOn w:val="a0"/>
    <w:rsid w:val="007B55ED"/>
    <w:rPr>
      <w:rFonts w:cs="Times New Roman"/>
    </w:rPr>
  </w:style>
  <w:style w:type="character" w:customStyle="1" w:styleId="UnresolvedMention2">
    <w:name w:val="Unresolved Mention2"/>
    <w:basedOn w:val="a0"/>
    <w:uiPriority w:val="99"/>
    <w:semiHidden/>
    <w:unhideWhenUsed/>
    <w:rsid w:val="007B55ED"/>
    <w:rPr>
      <w:rFonts w:cs="Times New Roman"/>
      <w:color w:val="605E5C"/>
      <w:shd w:val="clear" w:color="auto" w:fill="E1DFDD"/>
    </w:rPr>
  </w:style>
  <w:style w:type="character" w:customStyle="1" w:styleId="journaltitle">
    <w:name w:val="journaltitle"/>
    <w:basedOn w:val="a0"/>
    <w:rsid w:val="007B55ED"/>
    <w:rPr>
      <w:rFonts w:cs="Times New Roman"/>
    </w:rPr>
  </w:style>
  <w:style w:type="character" w:customStyle="1" w:styleId="article-title">
    <w:name w:val="article-title"/>
    <w:basedOn w:val="a0"/>
    <w:rsid w:val="007B55ED"/>
    <w:rPr>
      <w:rFonts w:cs="Times New Roman"/>
    </w:rPr>
  </w:style>
  <w:style w:type="character" w:customStyle="1" w:styleId="volume">
    <w:name w:val="volume"/>
    <w:basedOn w:val="a0"/>
    <w:rsid w:val="007B55ED"/>
    <w:rPr>
      <w:rFonts w:cs="Times New Roman"/>
    </w:rPr>
  </w:style>
  <w:style w:type="character" w:customStyle="1" w:styleId="fpage">
    <w:name w:val="fpage"/>
    <w:basedOn w:val="a0"/>
    <w:rsid w:val="007B55ED"/>
    <w:rPr>
      <w:rFonts w:cs="Times New Roman"/>
    </w:rPr>
  </w:style>
  <w:style w:type="character" w:customStyle="1" w:styleId="lpage">
    <w:name w:val="lpage"/>
    <w:basedOn w:val="a0"/>
    <w:rsid w:val="007B55ED"/>
    <w:rPr>
      <w:rFonts w:cs="Times New Roman"/>
    </w:rPr>
  </w:style>
  <w:style w:type="character" w:customStyle="1" w:styleId="mixed-citation">
    <w:name w:val="mixed-citation"/>
    <w:basedOn w:val="a0"/>
    <w:rsid w:val="007B55ED"/>
    <w:rPr>
      <w:rFonts w:cs="Times New Roman"/>
    </w:rPr>
  </w:style>
  <w:style w:type="character" w:customStyle="1" w:styleId="ref-title">
    <w:name w:val="ref-title"/>
    <w:basedOn w:val="a0"/>
    <w:rsid w:val="007B55ED"/>
    <w:rPr>
      <w:rFonts w:cs="Times New Roman"/>
    </w:rPr>
  </w:style>
  <w:style w:type="character" w:customStyle="1" w:styleId="ref-journal">
    <w:name w:val="ref-journal"/>
    <w:basedOn w:val="a0"/>
    <w:rsid w:val="007B55ED"/>
    <w:rPr>
      <w:rFonts w:cs="Times New Roman"/>
    </w:rPr>
  </w:style>
  <w:style w:type="character" w:customStyle="1" w:styleId="ref-vol">
    <w:name w:val="ref-vol"/>
    <w:basedOn w:val="a0"/>
    <w:rsid w:val="007B55ED"/>
    <w:rPr>
      <w:rFonts w:cs="Times New Roman"/>
    </w:rPr>
  </w:style>
  <w:style w:type="character" w:customStyle="1" w:styleId="articletitle">
    <w:name w:val="articletitle"/>
    <w:basedOn w:val="a0"/>
    <w:rsid w:val="007B55ED"/>
    <w:rPr>
      <w:rFonts w:cs="Times New Roman"/>
    </w:rPr>
  </w:style>
  <w:style w:type="character" w:customStyle="1" w:styleId="vol">
    <w:name w:val="vol"/>
    <w:basedOn w:val="a0"/>
    <w:rsid w:val="007B55ED"/>
    <w:rPr>
      <w:rFonts w:cs="Times New Roman"/>
    </w:rPr>
  </w:style>
  <w:style w:type="character" w:customStyle="1" w:styleId="pagefirst">
    <w:name w:val="pagefirst"/>
    <w:basedOn w:val="a0"/>
    <w:rsid w:val="007B55ED"/>
    <w:rPr>
      <w:rFonts w:cs="Times New Roman"/>
    </w:rPr>
  </w:style>
  <w:style w:type="character" w:customStyle="1" w:styleId="pagelast">
    <w:name w:val="pagelast"/>
    <w:basedOn w:val="a0"/>
    <w:rsid w:val="007B55ED"/>
    <w:rPr>
      <w:rFonts w:cs="Times New Roman"/>
    </w:rPr>
  </w:style>
  <w:style w:type="character" w:customStyle="1" w:styleId="period">
    <w:name w:val="period"/>
    <w:basedOn w:val="a0"/>
    <w:rsid w:val="007B55ED"/>
    <w:rPr>
      <w:rFonts w:cs="Times New Roman"/>
    </w:rPr>
  </w:style>
  <w:style w:type="character" w:customStyle="1" w:styleId="cit">
    <w:name w:val="cit"/>
    <w:basedOn w:val="a0"/>
    <w:rsid w:val="007B55ED"/>
    <w:rPr>
      <w:rFonts w:cs="Times New Roman"/>
    </w:rPr>
  </w:style>
  <w:style w:type="character" w:customStyle="1" w:styleId="A10">
    <w:name w:val="A1"/>
    <w:uiPriority w:val="99"/>
    <w:rsid w:val="007B55ED"/>
    <w:rPr>
      <w:b/>
      <w:color w:val="000000"/>
      <w:sz w:val="20"/>
    </w:rPr>
  </w:style>
  <w:style w:type="paragraph" w:customStyle="1" w:styleId="Pa2">
    <w:name w:val="Pa2"/>
    <w:basedOn w:val="Default"/>
    <w:next w:val="Default"/>
    <w:uiPriority w:val="99"/>
    <w:rsid w:val="007B55ED"/>
    <w:pPr>
      <w:spacing w:line="221" w:lineRule="atLeast"/>
    </w:pPr>
    <w:rPr>
      <w:rFonts w:ascii="Arial" w:hAnsi="Arial" w:cs="Arial"/>
      <w:color w:val="auto"/>
    </w:rPr>
  </w:style>
  <w:style w:type="character" w:customStyle="1" w:styleId="yiv6119498278ydpfba19cbyiv5137670712ydp399fd2bast1">
    <w:name w:val="yiv6119498278ydpfba19cbyiv5137670712ydp399fd2bast1"/>
    <w:basedOn w:val="a0"/>
    <w:rsid w:val="007B55ED"/>
    <w:rPr>
      <w:rFonts w:cs="Times New Roman"/>
    </w:rPr>
  </w:style>
  <w:style w:type="paragraph" w:styleId="af4">
    <w:name w:val="Plain Text"/>
    <w:aliases w:val="Текст Знак Знак,Текст Знак Знак Знак Знак"/>
    <w:basedOn w:val="a"/>
    <w:link w:val="af5"/>
    <w:uiPriority w:val="99"/>
    <w:rsid w:val="007B55ED"/>
    <w:pPr>
      <w:spacing w:line="240" w:lineRule="auto"/>
      <w:ind w:firstLine="0"/>
      <w:jc w:val="left"/>
    </w:pPr>
    <w:rPr>
      <w:rFonts w:ascii="Courier New" w:hAnsi="Courier New"/>
      <w:sz w:val="20"/>
      <w:szCs w:val="20"/>
      <w:lang w:val="en-US"/>
    </w:rPr>
  </w:style>
  <w:style w:type="character" w:customStyle="1" w:styleId="af5">
    <w:name w:val="Обикновен текст Знак"/>
    <w:aliases w:val="Текст Знак Знак Знак,Текст Знак Знак Знак Знак Знак"/>
    <w:basedOn w:val="a0"/>
    <w:link w:val="af4"/>
    <w:uiPriority w:val="99"/>
    <w:locked/>
    <w:rsid w:val="007B55ED"/>
    <w:rPr>
      <w:rFonts w:ascii="Courier New" w:hAnsi="Courier New" w:cs="Times New Roman"/>
      <w:sz w:val="20"/>
      <w:szCs w:val="20"/>
    </w:rPr>
  </w:style>
  <w:style w:type="character" w:customStyle="1" w:styleId="f">
    <w:name w:val="f"/>
    <w:basedOn w:val="a0"/>
    <w:rsid w:val="007B55ED"/>
    <w:rPr>
      <w:rFonts w:cs="Times New Roman"/>
    </w:rPr>
  </w:style>
  <w:style w:type="paragraph" w:customStyle="1" w:styleId="CharCharChar1">
    <w:name w:val="Char Char Char1"/>
    <w:basedOn w:val="a"/>
    <w:rsid w:val="007B55ED"/>
    <w:pPr>
      <w:tabs>
        <w:tab w:val="left" w:pos="709"/>
      </w:tabs>
      <w:spacing w:line="240" w:lineRule="auto"/>
      <w:ind w:firstLine="0"/>
      <w:jc w:val="left"/>
    </w:pPr>
    <w:rPr>
      <w:rFonts w:ascii="Tahoma" w:hAnsi="Tahoma"/>
      <w:sz w:val="24"/>
      <w:szCs w:val="24"/>
      <w:lang w:val="pl-PL" w:eastAsia="pl-PL"/>
    </w:rPr>
  </w:style>
  <w:style w:type="character" w:customStyle="1" w:styleId="absnonlinkmetadata">
    <w:name w:val="abs_nonlink_metadata"/>
    <w:uiPriority w:val="99"/>
    <w:rsid w:val="007B55ED"/>
  </w:style>
  <w:style w:type="character" w:customStyle="1" w:styleId="textin">
    <w:name w:val="text_in"/>
    <w:uiPriority w:val="99"/>
    <w:rsid w:val="007B55ED"/>
  </w:style>
  <w:style w:type="character" w:customStyle="1" w:styleId="issue-itemjour-name">
    <w:name w:val="issue-item_jour-name"/>
    <w:basedOn w:val="a0"/>
    <w:rsid w:val="007B55ED"/>
    <w:rPr>
      <w:rFonts w:cs="Times New Roman"/>
    </w:rPr>
  </w:style>
  <w:style w:type="character" w:customStyle="1" w:styleId="accordion-tabbedtab-mobile">
    <w:name w:val="accordion-tabbed__tab-mobile"/>
    <w:basedOn w:val="a0"/>
    <w:rsid w:val="007B55ED"/>
    <w:rPr>
      <w:rFonts w:cs="Times New Roman"/>
    </w:rPr>
  </w:style>
  <w:style w:type="character" w:customStyle="1" w:styleId="comma-separator">
    <w:name w:val="comma-separator"/>
    <w:basedOn w:val="a0"/>
    <w:rsid w:val="007B55ED"/>
    <w:rPr>
      <w:rFonts w:cs="Times New Roman"/>
    </w:rPr>
  </w:style>
  <w:style w:type="paragraph" w:customStyle="1" w:styleId="volume-issue">
    <w:name w:val="volume-issue"/>
    <w:basedOn w:val="a"/>
    <w:rsid w:val="007B55ED"/>
    <w:pPr>
      <w:spacing w:before="100" w:beforeAutospacing="1" w:after="100" w:afterAutospacing="1" w:line="240" w:lineRule="auto"/>
      <w:ind w:firstLine="0"/>
      <w:jc w:val="left"/>
    </w:pPr>
    <w:rPr>
      <w:rFonts w:ascii="Times New Roman" w:hAnsi="Times New Roman"/>
      <w:sz w:val="24"/>
      <w:szCs w:val="24"/>
      <w:lang w:eastAsia="bg-BG"/>
    </w:rPr>
  </w:style>
  <w:style w:type="character" w:customStyle="1" w:styleId="val">
    <w:name w:val="val"/>
    <w:basedOn w:val="a0"/>
    <w:rsid w:val="007B55ED"/>
    <w:rPr>
      <w:rFonts w:cs="Times New Roman"/>
    </w:rPr>
  </w:style>
  <w:style w:type="paragraph" w:customStyle="1" w:styleId="page-range">
    <w:name w:val="page-range"/>
    <w:basedOn w:val="a"/>
    <w:rsid w:val="007B55ED"/>
    <w:pPr>
      <w:spacing w:before="100" w:beforeAutospacing="1" w:after="100" w:afterAutospacing="1" w:line="240" w:lineRule="auto"/>
      <w:ind w:firstLine="0"/>
      <w:jc w:val="left"/>
    </w:pPr>
    <w:rPr>
      <w:rFonts w:ascii="Times New Roman" w:hAnsi="Times New Roman"/>
      <w:sz w:val="24"/>
      <w:szCs w:val="24"/>
      <w:lang w:eastAsia="bg-BG"/>
    </w:rPr>
  </w:style>
  <w:style w:type="paragraph" w:styleId="af6">
    <w:name w:val="No Spacing"/>
    <w:uiPriority w:val="1"/>
    <w:qFormat/>
    <w:rsid w:val="007B55ED"/>
    <w:pPr>
      <w:spacing w:line="240" w:lineRule="auto"/>
      <w:ind w:firstLine="0"/>
      <w:jc w:val="left"/>
    </w:pPr>
    <w:rPr>
      <w:rFonts w:cs="Times New Roman"/>
      <w:lang w:val="en-GB"/>
    </w:rPr>
  </w:style>
  <w:style w:type="character" w:customStyle="1" w:styleId="A33">
    <w:name w:val="A3_3"/>
    <w:uiPriority w:val="99"/>
    <w:rsid w:val="007B55ED"/>
    <w:rPr>
      <w:b/>
      <w:color w:val="221E1F"/>
      <w:sz w:val="20"/>
      <w:u w:val="single"/>
    </w:rPr>
  </w:style>
  <w:style w:type="character" w:customStyle="1" w:styleId="A14">
    <w:name w:val="A1_4"/>
    <w:uiPriority w:val="99"/>
    <w:rsid w:val="007B55ED"/>
    <w:rPr>
      <w:b/>
      <w:color w:val="221E1F"/>
      <w:sz w:val="20"/>
    </w:rPr>
  </w:style>
  <w:style w:type="character" w:styleId="af7">
    <w:name w:val="line number"/>
    <w:basedOn w:val="a0"/>
    <w:uiPriority w:val="99"/>
    <w:semiHidden/>
    <w:unhideWhenUsed/>
    <w:rsid w:val="007B55ED"/>
    <w:rPr>
      <w:rFonts w:cs="Times New Roman"/>
    </w:rPr>
  </w:style>
  <w:style w:type="table" w:customStyle="1" w:styleId="TableGrid1">
    <w:name w:val="Table Grid1"/>
    <w:basedOn w:val="a1"/>
    <w:next w:val="a4"/>
    <w:uiPriority w:val="59"/>
    <w:rsid w:val="007B55ED"/>
    <w:pPr>
      <w:spacing w:line="240" w:lineRule="auto"/>
      <w:ind w:firstLine="0"/>
      <w:jc w:val="left"/>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4"/>
    <w:uiPriority w:val="59"/>
    <w:rsid w:val="007B55ED"/>
    <w:pPr>
      <w:spacing w:line="240" w:lineRule="auto"/>
      <w:ind w:firstLine="0"/>
      <w:jc w:val="left"/>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a1"/>
    <w:next w:val="a4"/>
    <w:uiPriority w:val="59"/>
    <w:rsid w:val="007B55ED"/>
    <w:pPr>
      <w:spacing w:line="240" w:lineRule="auto"/>
      <w:ind w:firstLine="0"/>
      <w:jc w:val="left"/>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basedOn w:val="a0"/>
    <w:rsid w:val="007B55ED"/>
    <w:rPr>
      <w:rFonts w:cs="Times New Roman"/>
    </w:rPr>
  </w:style>
  <w:style w:type="character" w:customStyle="1" w:styleId="rynqvb">
    <w:name w:val="rynqvb"/>
    <w:basedOn w:val="a0"/>
    <w:rsid w:val="007B55ED"/>
    <w:rPr>
      <w:rFonts w:cs="Times New Roman"/>
    </w:rPr>
  </w:style>
  <w:style w:type="paragraph" w:customStyle="1" w:styleId="msonormal0">
    <w:name w:val="msonormal"/>
    <w:basedOn w:val="a"/>
    <w:rsid w:val="007B55ED"/>
    <w:pPr>
      <w:spacing w:before="100" w:beforeAutospacing="1" w:after="100" w:afterAutospacing="1" w:line="240" w:lineRule="auto"/>
      <w:ind w:firstLine="0"/>
      <w:jc w:val="left"/>
    </w:pPr>
    <w:rPr>
      <w:rFonts w:ascii="Times New Roman" w:hAnsi="Times New Roman"/>
      <w:sz w:val="24"/>
      <w:szCs w:val="24"/>
      <w:lang w:val="en-US"/>
    </w:rPr>
  </w:style>
  <w:style w:type="paragraph" w:customStyle="1" w:styleId="13">
    <w:name w:val="Заглавие от съдържание1"/>
    <w:basedOn w:val="1"/>
    <w:next w:val="a"/>
    <w:uiPriority w:val="39"/>
    <w:unhideWhenUsed/>
    <w:qFormat/>
    <w:rsid w:val="007B55ED"/>
  </w:style>
  <w:style w:type="paragraph" w:styleId="14">
    <w:name w:val="toc 1"/>
    <w:basedOn w:val="a"/>
    <w:next w:val="a"/>
    <w:autoRedefine/>
    <w:uiPriority w:val="39"/>
    <w:unhideWhenUsed/>
    <w:rsid w:val="007B55ED"/>
    <w:pPr>
      <w:spacing w:after="100" w:line="240" w:lineRule="auto"/>
      <w:ind w:firstLine="0"/>
      <w:jc w:val="left"/>
    </w:pPr>
    <w:rPr>
      <w:rFonts w:ascii="Times New Roman" w:hAnsi="Times New Roman"/>
      <w:sz w:val="24"/>
      <w:szCs w:val="24"/>
      <w:lang w:eastAsia="bg-BG"/>
    </w:rPr>
  </w:style>
  <w:style w:type="paragraph" w:styleId="22">
    <w:name w:val="toc 2"/>
    <w:basedOn w:val="a"/>
    <w:next w:val="a"/>
    <w:autoRedefine/>
    <w:uiPriority w:val="39"/>
    <w:unhideWhenUsed/>
    <w:rsid w:val="007B55ED"/>
    <w:pPr>
      <w:spacing w:after="100" w:line="240" w:lineRule="auto"/>
      <w:ind w:left="240" w:firstLine="0"/>
      <w:jc w:val="left"/>
    </w:pPr>
    <w:rPr>
      <w:rFonts w:ascii="Times New Roman" w:hAnsi="Times New Roman"/>
      <w:sz w:val="24"/>
      <w:szCs w:val="24"/>
      <w:lang w:eastAsia="bg-BG"/>
    </w:rPr>
  </w:style>
  <w:style w:type="paragraph" w:styleId="32">
    <w:name w:val="toc 3"/>
    <w:basedOn w:val="a"/>
    <w:next w:val="a"/>
    <w:autoRedefine/>
    <w:uiPriority w:val="39"/>
    <w:unhideWhenUsed/>
    <w:rsid w:val="007B55ED"/>
    <w:pPr>
      <w:spacing w:after="100" w:line="240" w:lineRule="auto"/>
      <w:ind w:left="480" w:firstLine="0"/>
      <w:jc w:val="left"/>
    </w:pPr>
    <w:rPr>
      <w:rFonts w:ascii="Times New Roman" w:hAnsi="Times New Roman"/>
      <w:sz w:val="24"/>
      <w:szCs w:val="24"/>
      <w:lang w:eastAsia="bg-BG"/>
    </w:rPr>
  </w:style>
  <w:style w:type="character" w:customStyle="1" w:styleId="110">
    <w:name w:val="Заглавие 1 Знак1"/>
    <w:basedOn w:val="a0"/>
    <w:uiPriority w:val="9"/>
    <w:rsid w:val="007B55ED"/>
    <w:rPr>
      <w:rFonts w:asciiTheme="majorHAnsi" w:eastAsiaTheme="majorEastAsia" w:hAnsiTheme="majorHAnsi" w:cs="Times New Roman"/>
      <w:color w:val="2E74B5" w:themeColor="accent1" w:themeShade="BF"/>
      <w:sz w:val="32"/>
      <w:szCs w:val="32"/>
      <w:lang w:val="bg-BG" w:eastAsia="x-none"/>
    </w:rPr>
  </w:style>
  <w:style w:type="character" w:styleId="af8">
    <w:name w:val="FollowedHyperlink"/>
    <w:basedOn w:val="a0"/>
    <w:uiPriority w:val="99"/>
    <w:semiHidden/>
    <w:unhideWhenUsed/>
    <w:rsid w:val="007B55ED"/>
    <w:rPr>
      <w:rFonts w:cs="Times New Roman"/>
      <w:color w:val="954F72" w:themeColor="followedHyperlink"/>
      <w:u w:val="single"/>
    </w:rPr>
  </w:style>
  <w:style w:type="character" w:customStyle="1" w:styleId="410">
    <w:name w:val="Заглавие 4 Знак1"/>
    <w:basedOn w:val="a0"/>
    <w:uiPriority w:val="9"/>
    <w:semiHidden/>
    <w:rsid w:val="007B55ED"/>
    <w:rPr>
      <w:rFonts w:asciiTheme="majorHAnsi" w:eastAsiaTheme="majorEastAsia" w:hAnsiTheme="majorHAnsi" w:cs="Times New Roman"/>
      <w:i/>
      <w:iCs/>
      <w:color w:val="2E74B5" w:themeColor="accent1" w:themeShade="BF"/>
      <w:lang w:val="bg-BG" w:eastAsia="x-none"/>
    </w:rPr>
  </w:style>
  <w:style w:type="character" w:customStyle="1" w:styleId="310">
    <w:name w:val="Заглавие 3 Знак1"/>
    <w:basedOn w:val="a0"/>
    <w:uiPriority w:val="9"/>
    <w:semiHidden/>
    <w:rsid w:val="007B55ED"/>
    <w:rPr>
      <w:rFonts w:asciiTheme="majorHAnsi" w:eastAsiaTheme="majorEastAsia" w:hAnsiTheme="majorHAnsi" w:cs="Times New Roman"/>
      <w:color w:val="1F4D78" w:themeColor="accent1" w:themeShade="7F"/>
      <w:sz w:val="24"/>
      <w:szCs w:val="24"/>
      <w:lang w:val="bg-BG" w:eastAsia="x-none"/>
    </w:rPr>
  </w:style>
  <w:style w:type="character" w:customStyle="1" w:styleId="210">
    <w:name w:val="Заглавие 2 Знак1"/>
    <w:basedOn w:val="a0"/>
    <w:uiPriority w:val="9"/>
    <w:semiHidden/>
    <w:rsid w:val="007B55ED"/>
    <w:rPr>
      <w:rFonts w:asciiTheme="majorHAnsi" w:eastAsiaTheme="majorEastAsia" w:hAnsiTheme="majorHAnsi" w:cs="Times New Roman"/>
      <w:color w:val="2E74B5" w:themeColor="accent1" w:themeShade="BF"/>
      <w:sz w:val="26"/>
      <w:szCs w:val="26"/>
      <w:lang w:val="bg-BG" w:eastAsia="x-none"/>
    </w:rPr>
  </w:style>
  <w:style w:type="table" w:customStyle="1" w:styleId="TableGrid10">
    <w:name w:val="TableGrid1"/>
    <w:rsid w:val="00327654"/>
    <w:pPr>
      <w:spacing w:line="240" w:lineRule="auto"/>
      <w:ind w:firstLine="0"/>
      <w:jc w:val="left"/>
    </w:pPr>
    <w:rPr>
      <w:rFonts w:cs="Times New Roman"/>
      <w:lang w:val="bg-BG"/>
    </w:rPr>
    <w:tblPr>
      <w:tblCellMar>
        <w:top w:w="0" w:type="dxa"/>
        <w:left w:w="0" w:type="dxa"/>
        <w:bottom w:w="0" w:type="dxa"/>
        <w:right w:w="0" w:type="dxa"/>
      </w:tblCellMar>
    </w:tblPr>
  </w:style>
  <w:style w:type="paragraph" w:customStyle="1" w:styleId="23">
    <w:name w:val="Заглавие от съдържание2"/>
    <w:basedOn w:val="1"/>
    <w:next w:val="a"/>
    <w:uiPriority w:val="39"/>
    <w:unhideWhenUsed/>
    <w:qFormat/>
    <w:rsid w:val="00327654"/>
    <w:pPr>
      <w:spacing w:line="259" w:lineRule="auto"/>
      <w:ind w:firstLine="0"/>
      <w:jc w:val="left"/>
      <w:outlineLvl w:val="9"/>
    </w:pPr>
    <w:rPr>
      <w:rFonts w:ascii="Cambria" w:hAnsi="Cambria"/>
      <w:b w:val="0"/>
      <w:color w:val="365F91"/>
      <w:sz w:val="32"/>
      <w:lang w:val="en-US" w:eastAsia="en-US"/>
    </w:rPr>
  </w:style>
  <w:style w:type="character" w:customStyle="1" w:styleId="anchor-text">
    <w:name w:val="anchor-text"/>
    <w:basedOn w:val="a0"/>
    <w:rsid w:val="00327654"/>
    <w:rPr>
      <w:rFonts w:cs="Times New Roman"/>
    </w:rPr>
  </w:style>
  <w:style w:type="table" w:customStyle="1" w:styleId="TableGrid3">
    <w:name w:val="Table Grid3"/>
    <w:basedOn w:val="a1"/>
    <w:next w:val="a4"/>
    <w:uiPriority w:val="59"/>
    <w:rsid w:val="00327654"/>
    <w:pPr>
      <w:spacing w:line="240" w:lineRule="auto"/>
      <w:ind w:firstLine="0"/>
      <w:jc w:val="left"/>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Grid2"/>
    <w:rsid w:val="0029246B"/>
    <w:pPr>
      <w:spacing w:line="240" w:lineRule="auto"/>
      <w:ind w:firstLine="0"/>
      <w:jc w:val="left"/>
    </w:pPr>
    <w:rPr>
      <w:rFonts w:cs="Times New Roman"/>
      <w:lang w:val="bg-BG"/>
    </w:rPr>
    <w:tblPr>
      <w:tblCellMar>
        <w:top w:w="0" w:type="dxa"/>
        <w:left w:w="0" w:type="dxa"/>
        <w:bottom w:w="0" w:type="dxa"/>
        <w:right w:w="0" w:type="dxa"/>
      </w:tblCellMar>
    </w:tblPr>
  </w:style>
  <w:style w:type="paragraph" w:customStyle="1" w:styleId="33">
    <w:name w:val="Заглавие от съдържание3"/>
    <w:basedOn w:val="1"/>
    <w:next w:val="a"/>
    <w:uiPriority w:val="39"/>
    <w:unhideWhenUsed/>
    <w:qFormat/>
    <w:rsid w:val="0029246B"/>
    <w:pPr>
      <w:spacing w:line="259" w:lineRule="auto"/>
      <w:ind w:firstLine="0"/>
      <w:jc w:val="left"/>
      <w:outlineLvl w:val="9"/>
    </w:pPr>
    <w:rPr>
      <w:rFonts w:ascii="Cambria" w:hAnsi="Cambria"/>
      <w:b w:val="0"/>
      <w:color w:val="365F91"/>
      <w:sz w:val="32"/>
      <w:lang w:val="en-US" w:eastAsia="en-US"/>
    </w:rPr>
  </w:style>
  <w:style w:type="table" w:customStyle="1" w:styleId="TableGrid31">
    <w:name w:val="Table Grid31"/>
    <w:basedOn w:val="a1"/>
    <w:next w:val="a4"/>
    <w:uiPriority w:val="59"/>
    <w:rsid w:val="0029246B"/>
    <w:pPr>
      <w:spacing w:line="240" w:lineRule="auto"/>
      <w:ind w:firstLine="0"/>
      <w:jc w:val="left"/>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Grid3"/>
    <w:rsid w:val="00EC5254"/>
    <w:pPr>
      <w:spacing w:line="240" w:lineRule="auto"/>
      <w:ind w:firstLine="0"/>
      <w:jc w:val="left"/>
    </w:pPr>
    <w:rPr>
      <w:rFonts w:cs="Times New Roman"/>
      <w:lang w:val="bg-BG"/>
    </w:rPr>
    <w:tblPr>
      <w:tblCellMar>
        <w:top w:w="0" w:type="dxa"/>
        <w:left w:w="0" w:type="dxa"/>
        <w:bottom w:w="0" w:type="dxa"/>
        <w:right w:w="0" w:type="dxa"/>
      </w:tblCellMar>
    </w:tblPr>
  </w:style>
  <w:style w:type="paragraph" w:customStyle="1" w:styleId="42">
    <w:name w:val="Заглавие от съдържание4"/>
    <w:basedOn w:val="1"/>
    <w:next w:val="a"/>
    <w:uiPriority w:val="39"/>
    <w:unhideWhenUsed/>
    <w:qFormat/>
    <w:rsid w:val="00EC5254"/>
    <w:pPr>
      <w:spacing w:line="259" w:lineRule="auto"/>
      <w:ind w:firstLine="0"/>
      <w:jc w:val="left"/>
      <w:outlineLvl w:val="9"/>
    </w:pPr>
    <w:rPr>
      <w:rFonts w:ascii="Cambria" w:hAnsi="Cambria"/>
      <w:b w:val="0"/>
      <w:color w:val="365F91"/>
      <w:sz w:val="32"/>
      <w:lang w:val="en-US" w:eastAsia="en-US"/>
    </w:rPr>
  </w:style>
  <w:style w:type="table" w:customStyle="1" w:styleId="TableGrid32">
    <w:name w:val="Table Grid32"/>
    <w:basedOn w:val="a1"/>
    <w:next w:val="a4"/>
    <w:uiPriority w:val="59"/>
    <w:rsid w:val="00EC5254"/>
    <w:pPr>
      <w:spacing w:line="240" w:lineRule="auto"/>
      <w:ind w:firstLine="0"/>
      <w:jc w:val="left"/>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Grid4"/>
    <w:rsid w:val="00A85EB0"/>
    <w:pPr>
      <w:spacing w:line="240" w:lineRule="auto"/>
      <w:ind w:firstLine="0"/>
      <w:jc w:val="left"/>
    </w:pPr>
    <w:rPr>
      <w:rFonts w:cs="Times New Roman"/>
      <w:lang w:val="bg-BG"/>
    </w:rPr>
    <w:tblPr>
      <w:tblCellMar>
        <w:top w:w="0" w:type="dxa"/>
        <w:left w:w="0" w:type="dxa"/>
        <w:bottom w:w="0" w:type="dxa"/>
        <w:right w:w="0" w:type="dxa"/>
      </w:tblCellMar>
    </w:tblPr>
  </w:style>
  <w:style w:type="paragraph" w:customStyle="1" w:styleId="5">
    <w:name w:val="Заглавие от съдържание5"/>
    <w:basedOn w:val="1"/>
    <w:next w:val="a"/>
    <w:uiPriority w:val="39"/>
    <w:unhideWhenUsed/>
    <w:qFormat/>
    <w:rsid w:val="00A85EB0"/>
    <w:pPr>
      <w:spacing w:line="259" w:lineRule="auto"/>
      <w:ind w:firstLine="0"/>
      <w:jc w:val="left"/>
      <w:outlineLvl w:val="9"/>
    </w:pPr>
    <w:rPr>
      <w:rFonts w:ascii="Cambria" w:hAnsi="Cambria"/>
      <w:b w:val="0"/>
      <w:color w:val="365F91"/>
      <w:sz w:val="32"/>
      <w:lang w:val="en-US" w:eastAsia="en-US"/>
    </w:rPr>
  </w:style>
  <w:style w:type="table" w:customStyle="1" w:styleId="TableGrid33">
    <w:name w:val="Table Grid33"/>
    <w:basedOn w:val="a1"/>
    <w:next w:val="a4"/>
    <w:uiPriority w:val="59"/>
    <w:rsid w:val="00A85EB0"/>
    <w:pPr>
      <w:spacing w:line="240" w:lineRule="auto"/>
      <w:ind w:firstLine="0"/>
      <w:jc w:val="left"/>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a"/>
    <w:rsid w:val="006B0851"/>
    <w:pPr>
      <w:spacing w:before="100" w:beforeAutospacing="1" w:after="100" w:afterAutospacing="1" w:line="240" w:lineRule="auto"/>
      <w:ind w:firstLine="0"/>
      <w:jc w:val="left"/>
    </w:pPr>
    <w:rPr>
      <w:rFonts w:ascii="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302892">
      <w:marLeft w:val="0"/>
      <w:marRight w:val="0"/>
      <w:marTop w:val="0"/>
      <w:marBottom w:val="0"/>
      <w:divBdr>
        <w:top w:val="none" w:sz="0" w:space="0" w:color="auto"/>
        <w:left w:val="none" w:sz="0" w:space="0" w:color="auto"/>
        <w:bottom w:val="none" w:sz="0" w:space="0" w:color="auto"/>
        <w:right w:val="none" w:sz="0" w:space="0" w:color="auto"/>
      </w:divBdr>
    </w:div>
    <w:div w:id="49302894">
      <w:marLeft w:val="0"/>
      <w:marRight w:val="0"/>
      <w:marTop w:val="0"/>
      <w:marBottom w:val="0"/>
      <w:divBdr>
        <w:top w:val="none" w:sz="0" w:space="0" w:color="auto"/>
        <w:left w:val="none" w:sz="0" w:space="0" w:color="auto"/>
        <w:bottom w:val="none" w:sz="0" w:space="0" w:color="auto"/>
        <w:right w:val="none" w:sz="0" w:space="0" w:color="auto"/>
      </w:divBdr>
    </w:div>
    <w:div w:id="49302895">
      <w:marLeft w:val="0"/>
      <w:marRight w:val="0"/>
      <w:marTop w:val="0"/>
      <w:marBottom w:val="0"/>
      <w:divBdr>
        <w:top w:val="none" w:sz="0" w:space="0" w:color="auto"/>
        <w:left w:val="none" w:sz="0" w:space="0" w:color="auto"/>
        <w:bottom w:val="none" w:sz="0" w:space="0" w:color="auto"/>
        <w:right w:val="none" w:sz="0" w:space="0" w:color="auto"/>
      </w:divBdr>
    </w:div>
    <w:div w:id="49302896">
      <w:marLeft w:val="0"/>
      <w:marRight w:val="0"/>
      <w:marTop w:val="0"/>
      <w:marBottom w:val="0"/>
      <w:divBdr>
        <w:top w:val="none" w:sz="0" w:space="0" w:color="auto"/>
        <w:left w:val="none" w:sz="0" w:space="0" w:color="auto"/>
        <w:bottom w:val="none" w:sz="0" w:space="0" w:color="auto"/>
        <w:right w:val="none" w:sz="0" w:space="0" w:color="auto"/>
      </w:divBdr>
    </w:div>
    <w:div w:id="49302897">
      <w:marLeft w:val="0"/>
      <w:marRight w:val="0"/>
      <w:marTop w:val="0"/>
      <w:marBottom w:val="0"/>
      <w:divBdr>
        <w:top w:val="none" w:sz="0" w:space="0" w:color="auto"/>
        <w:left w:val="none" w:sz="0" w:space="0" w:color="auto"/>
        <w:bottom w:val="none" w:sz="0" w:space="0" w:color="auto"/>
        <w:right w:val="none" w:sz="0" w:space="0" w:color="auto"/>
      </w:divBdr>
      <w:divsChild>
        <w:div w:id="49303000">
          <w:marLeft w:val="0"/>
          <w:marRight w:val="0"/>
          <w:marTop w:val="180"/>
          <w:marBottom w:val="240"/>
          <w:divBdr>
            <w:top w:val="none" w:sz="0" w:space="0" w:color="auto"/>
            <w:left w:val="none" w:sz="0" w:space="0" w:color="auto"/>
            <w:bottom w:val="none" w:sz="0" w:space="0" w:color="auto"/>
            <w:right w:val="none" w:sz="0" w:space="0" w:color="auto"/>
          </w:divBdr>
        </w:div>
      </w:divsChild>
    </w:div>
    <w:div w:id="49302898">
      <w:marLeft w:val="0"/>
      <w:marRight w:val="0"/>
      <w:marTop w:val="0"/>
      <w:marBottom w:val="0"/>
      <w:divBdr>
        <w:top w:val="none" w:sz="0" w:space="0" w:color="auto"/>
        <w:left w:val="none" w:sz="0" w:space="0" w:color="auto"/>
        <w:bottom w:val="none" w:sz="0" w:space="0" w:color="auto"/>
        <w:right w:val="none" w:sz="0" w:space="0" w:color="auto"/>
      </w:divBdr>
    </w:div>
    <w:div w:id="49302900">
      <w:marLeft w:val="0"/>
      <w:marRight w:val="0"/>
      <w:marTop w:val="0"/>
      <w:marBottom w:val="0"/>
      <w:divBdr>
        <w:top w:val="none" w:sz="0" w:space="0" w:color="auto"/>
        <w:left w:val="none" w:sz="0" w:space="0" w:color="auto"/>
        <w:bottom w:val="none" w:sz="0" w:space="0" w:color="auto"/>
        <w:right w:val="none" w:sz="0" w:space="0" w:color="auto"/>
      </w:divBdr>
    </w:div>
    <w:div w:id="49302902">
      <w:marLeft w:val="0"/>
      <w:marRight w:val="0"/>
      <w:marTop w:val="0"/>
      <w:marBottom w:val="0"/>
      <w:divBdr>
        <w:top w:val="none" w:sz="0" w:space="0" w:color="auto"/>
        <w:left w:val="none" w:sz="0" w:space="0" w:color="auto"/>
        <w:bottom w:val="none" w:sz="0" w:space="0" w:color="auto"/>
        <w:right w:val="none" w:sz="0" w:space="0" w:color="auto"/>
      </w:divBdr>
      <w:divsChild>
        <w:div w:id="49302937">
          <w:marLeft w:val="0"/>
          <w:marRight w:val="0"/>
          <w:marTop w:val="180"/>
          <w:marBottom w:val="240"/>
          <w:divBdr>
            <w:top w:val="none" w:sz="0" w:space="0" w:color="auto"/>
            <w:left w:val="none" w:sz="0" w:space="0" w:color="auto"/>
            <w:bottom w:val="none" w:sz="0" w:space="0" w:color="auto"/>
            <w:right w:val="none" w:sz="0" w:space="0" w:color="auto"/>
          </w:divBdr>
        </w:div>
        <w:div w:id="49302969">
          <w:marLeft w:val="0"/>
          <w:marRight w:val="0"/>
          <w:marTop w:val="180"/>
          <w:marBottom w:val="240"/>
          <w:divBdr>
            <w:top w:val="none" w:sz="0" w:space="0" w:color="auto"/>
            <w:left w:val="none" w:sz="0" w:space="0" w:color="auto"/>
            <w:bottom w:val="none" w:sz="0" w:space="0" w:color="auto"/>
            <w:right w:val="none" w:sz="0" w:space="0" w:color="auto"/>
          </w:divBdr>
        </w:div>
        <w:div w:id="49302987">
          <w:marLeft w:val="0"/>
          <w:marRight w:val="0"/>
          <w:marTop w:val="180"/>
          <w:marBottom w:val="240"/>
          <w:divBdr>
            <w:top w:val="none" w:sz="0" w:space="0" w:color="auto"/>
            <w:left w:val="none" w:sz="0" w:space="0" w:color="auto"/>
            <w:bottom w:val="none" w:sz="0" w:space="0" w:color="auto"/>
            <w:right w:val="none" w:sz="0" w:space="0" w:color="auto"/>
          </w:divBdr>
        </w:div>
        <w:div w:id="49303024">
          <w:marLeft w:val="0"/>
          <w:marRight w:val="0"/>
          <w:marTop w:val="180"/>
          <w:marBottom w:val="240"/>
          <w:divBdr>
            <w:top w:val="none" w:sz="0" w:space="0" w:color="auto"/>
            <w:left w:val="none" w:sz="0" w:space="0" w:color="auto"/>
            <w:bottom w:val="none" w:sz="0" w:space="0" w:color="auto"/>
            <w:right w:val="none" w:sz="0" w:space="0" w:color="auto"/>
          </w:divBdr>
        </w:div>
      </w:divsChild>
    </w:div>
    <w:div w:id="49302903">
      <w:marLeft w:val="0"/>
      <w:marRight w:val="0"/>
      <w:marTop w:val="0"/>
      <w:marBottom w:val="0"/>
      <w:divBdr>
        <w:top w:val="none" w:sz="0" w:space="0" w:color="auto"/>
        <w:left w:val="none" w:sz="0" w:space="0" w:color="auto"/>
        <w:bottom w:val="none" w:sz="0" w:space="0" w:color="auto"/>
        <w:right w:val="none" w:sz="0" w:space="0" w:color="auto"/>
      </w:divBdr>
    </w:div>
    <w:div w:id="49302904">
      <w:marLeft w:val="0"/>
      <w:marRight w:val="0"/>
      <w:marTop w:val="0"/>
      <w:marBottom w:val="0"/>
      <w:divBdr>
        <w:top w:val="none" w:sz="0" w:space="0" w:color="auto"/>
        <w:left w:val="none" w:sz="0" w:space="0" w:color="auto"/>
        <w:bottom w:val="none" w:sz="0" w:space="0" w:color="auto"/>
        <w:right w:val="none" w:sz="0" w:space="0" w:color="auto"/>
      </w:divBdr>
    </w:div>
    <w:div w:id="49302905">
      <w:marLeft w:val="0"/>
      <w:marRight w:val="0"/>
      <w:marTop w:val="0"/>
      <w:marBottom w:val="0"/>
      <w:divBdr>
        <w:top w:val="none" w:sz="0" w:space="0" w:color="auto"/>
        <w:left w:val="none" w:sz="0" w:space="0" w:color="auto"/>
        <w:bottom w:val="none" w:sz="0" w:space="0" w:color="auto"/>
        <w:right w:val="none" w:sz="0" w:space="0" w:color="auto"/>
      </w:divBdr>
    </w:div>
    <w:div w:id="49302909">
      <w:marLeft w:val="0"/>
      <w:marRight w:val="0"/>
      <w:marTop w:val="0"/>
      <w:marBottom w:val="0"/>
      <w:divBdr>
        <w:top w:val="none" w:sz="0" w:space="0" w:color="auto"/>
        <w:left w:val="none" w:sz="0" w:space="0" w:color="auto"/>
        <w:bottom w:val="none" w:sz="0" w:space="0" w:color="auto"/>
        <w:right w:val="none" w:sz="0" w:space="0" w:color="auto"/>
      </w:divBdr>
    </w:div>
    <w:div w:id="49302910">
      <w:marLeft w:val="0"/>
      <w:marRight w:val="0"/>
      <w:marTop w:val="0"/>
      <w:marBottom w:val="0"/>
      <w:divBdr>
        <w:top w:val="none" w:sz="0" w:space="0" w:color="auto"/>
        <w:left w:val="none" w:sz="0" w:space="0" w:color="auto"/>
        <w:bottom w:val="none" w:sz="0" w:space="0" w:color="auto"/>
        <w:right w:val="none" w:sz="0" w:space="0" w:color="auto"/>
      </w:divBdr>
      <w:divsChild>
        <w:div w:id="49302918">
          <w:marLeft w:val="0"/>
          <w:marRight w:val="0"/>
          <w:marTop w:val="180"/>
          <w:marBottom w:val="240"/>
          <w:divBdr>
            <w:top w:val="none" w:sz="0" w:space="0" w:color="auto"/>
            <w:left w:val="none" w:sz="0" w:space="0" w:color="auto"/>
            <w:bottom w:val="none" w:sz="0" w:space="0" w:color="auto"/>
            <w:right w:val="none" w:sz="0" w:space="0" w:color="auto"/>
          </w:divBdr>
        </w:div>
        <w:div w:id="49302926">
          <w:marLeft w:val="0"/>
          <w:marRight w:val="0"/>
          <w:marTop w:val="180"/>
          <w:marBottom w:val="240"/>
          <w:divBdr>
            <w:top w:val="none" w:sz="0" w:space="0" w:color="auto"/>
            <w:left w:val="none" w:sz="0" w:space="0" w:color="auto"/>
            <w:bottom w:val="none" w:sz="0" w:space="0" w:color="auto"/>
            <w:right w:val="none" w:sz="0" w:space="0" w:color="auto"/>
          </w:divBdr>
        </w:div>
        <w:div w:id="49302930">
          <w:marLeft w:val="0"/>
          <w:marRight w:val="0"/>
          <w:marTop w:val="180"/>
          <w:marBottom w:val="240"/>
          <w:divBdr>
            <w:top w:val="none" w:sz="0" w:space="0" w:color="auto"/>
            <w:left w:val="none" w:sz="0" w:space="0" w:color="auto"/>
            <w:bottom w:val="none" w:sz="0" w:space="0" w:color="auto"/>
            <w:right w:val="none" w:sz="0" w:space="0" w:color="auto"/>
          </w:divBdr>
        </w:div>
        <w:div w:id="49302931">
          <w:marLeft w:val="0"/>
          <w:marRight w:val="0"/>
          <w:marTop w:val="180"/>
          <w:marBottom w:val="240"/>
          <w:divBdr>
            <w:top w:val="none" w:sz="0" w:space="0" w:color="auto"/>
            <w:left w:val="none" w:sz="0" w:space="0" w:color="auto"/>
            <w:bottom w:val="none" w:sz="0" w:space="0" w:color="auto"/>
            <w:right w:val="none" w:sz="0" w:space="0" w:color="auto"/>
          </w:divBdr>
        </w:div>
        <w:div w:id="49302950">
          <w:marLeft w:val="0"/>
          <w:marRight w:val="0"/>
          <w:marTop w:val="180"/>
          <w:marBottom w:val="240"/>
          <w:divBdr>
            <w:top w:val="none" w:sz="0" w:space="0" w:color="auto"/>
            <w:left w:val="none" w:sz="0" w:space="0" w:color="auto"/>
            <w:bottom w:val="none" w:sz="0" w:space="0" w:color="auto"/>
            <w:right w:val="none" w:sz="0" w:space="0" w:color="auto"/>
          </w:divBdr>
        </w:div>
        <w:div w:id="49302953">
          <w:marLeft w:val="0"/>
          <w:marRight w:val="0"/>
          <w:marTop w:val="180"/>
          <w:marBottom w:val="240"/>
          <w:divBdr>
            <w:top w:val="none" w:sz="0" w:space="0" w:color="auto"/>
            <w:left w:val="none" w:sz="0" w:space="0" w:color="auto"/>
            <w:bottom w:val="none" w:sz="0" w:space="0" w:color="auto"/>
            <w:right w:val="none" w:sz="0" w:space="0" w:color="auto"/>
          </w:divBdr>
        </w:div>
        <w:div w:id="49302962">
          <w:marLeft w:val="0"/>
          <w:marRight w:val="0"/>
          <w:marTop w:val="180"/>
          <w:marBottom w:val="240"/>
          <w:divBdr>
            <w:top w:val="none" w:sz="0" w:space="0" w:color="auto"/>
            <w:left w:val="none" w:sz="0" w:space="0" w:color="auto"/>
            <w:bottom w:val="none" w:sz="0" w:space="0" w:color="auto"/>
            <w:right w:val="none" w:sz="0" w:space="0" w:color="auto"/>
          </w:divBdr>
        </w:div>
        <w:div w:id="49302963">
          <w:marLeft w:val="0"/>
          <w:marRight w:val="0"/>
          <w:marTop w:val="180"/>
          <w:marBottom w:val="240"/>
          <w:divBdr>
            <w:top w:val="none" w:sz="0" w:space="0" w:color="auto"/>
            <w:left w:val="none" w:sz="0" w:space="0" w:color="auto"/>
            <w:bottom w:val="none" w:sz="0" w:space="0" w:color="auto"/>
            <w:right w:val="none" w:sz="0" w:space="0" w:color="auto"/>
          </w:divBdr>
        </w:div>
        <w:div w:id="49303008">
          <w:marLeft w:val="0"/>
          <w:marRight w:val="0"/>
          <w:marTop w:val="180"/>
          <w:marBottom w:val="240"/>
          <w:divBdr>
            <w:top w:val="none" w:sz="0" w:space="0" w:color="auto"/>
            <w:left w:val="none" w:sz="0" w:space="0" w:color="auto"/>
            <w:bottom w:val="none" w:sz="0" w:space="0" w:color="auto"/>
            <w:right w:val="none" w:sz="0" w:space="0" w:color="auto"/>
          </w:divBdr>
        </w:div>
      </w:divsChild>
    </w:div>
    <w:div w:id="49302911">
      <w:marLeft w:val="0"/>
      <w:marRight w:val="0"/>
      <w:marTop w:val="0"/>
      <w:marBottom w:val="0"/>
      <w:divBdr>
        <w:top w:val="none" w:sz="0" w:space="0" w:color="auto"/>
        <w:left w:val="none" w:sz="0" w:space="0" w:color="auto"/>
        <w:bottom w:val="none" w:sz="0" w:space="0" w:color="auto"/>
        <w:right w:val="none" w:sz="0" w:space="0" w:color="auto"/>
      </w:divBdr>
    </w:div>
    <w:div w:id="49302913">
      <w:marLeft w:val="0"/>
      <w:marRight w:val="0"/>
      <w:marTop w:val="0"/>
      <w:marBottom w:val="0"/>
      <w:divBdr>
        <w:top w:val="none" w:sz="0" w:space="0" w:color="auto"/>
        <w:left w:val="none" w:sz="0" w:space="0" w:color="auto"/>
        <w:bottom w:val="none" w:sz="0" w:space="0" w:color="auto"/>
        <w:right w:val="none" w:sz="0" w:space="0" w:color="auto"/>
      </w:divBdr>
    </w:div>
    <w:div w:id="49302914">
      <w:marLeft w:val="0"/>
      <w:marRight w:val="0"/>
      <w:marTop w:val="0"/>
      <w:marBottom w:val="0"/>
      <w:divBdr>
        <w:top w:val="none" w:sz="0" w:space="0" w:color="auto"/>
        <w:left w:val="none" w:sz="0" w:space="0" w:color="auto"/>
        <w:bottom w:val="none" w:sz="0" w:space="0" w:color="auto"/>
        <w:right w:val="none" w:sz="0" w:space="0" w:color="auto"/>
      </w:divBdr>
    </w:div>
    <w:div w:id="49302915">
      <w:marLeft w:val="0"/>
      <w:marRight w:val="0"/>
      <w:marTop w:val="0"/>
      <w:marBottom w:val="0"/>
      <w:divBdr>
        <w:top w:val="none" w:sz="0" w:space="0" w:color="auto"/>
        <w:left w:val="none" w:sz="0" w:space="0" w:color="auto"/>
        <w:bottom w:val="none" w:sz="0" w:space="0" w:color="auto"/>
        <w:right w:val="none" w:sz="0" w:space="0" w:color="auto"/>
      </w:divBdr>
    </w:div>
    <w:div w:id="49302916">
      <w:marLeft w:val="0"/>
      <w:marRight w:val="0"/>
      <w:marTop w:val="0"/>
      <w:marBottom w:val="0"/>
      <w:divBdr>
        <w:top w:val="none" w:sz="0" w:space="0" w:color="auto"/>
        <w:left w:val="none" w:sz="0" w:space="0" w:color="auto"/>
        <w:bottom w:val="none" w:sz="0" w:space="0" w:color="auto"/>
        <w:right w:val="none" w:sz="0" w:space="0" w:color="auto"/>
      </w:divBdr>
    </w:div>
    <w:div w:id="49302917">
      <w:marLeft w:val="0"/>
      <w:marRight w:val="0"/>
      <w:marTop w:val="0"/>
      <w:marBottom w:val="0"/>
      <w:divBdr>
        <w:top w:val="none" w:sz="0" w:space="0" w:color="auto"/>
        <w:left w:val="none" w:sz="0" w:space="0" w:color="auto"/>
        <w:bottom w:val="none" w:sz="0" w:space="0" w:color="auto"/>
        <w:right w:val="none" w:sz="0" w:space="0" w:color="auto"/>
      </w:divBdr>
    </w:div>
    <w:div w:id="49302919">
      <w:marLeft w:val="0"/>
      <w:marRight w:val="0"/>
      <w:marTop w:val="0"/>
      <w:marBottom w:val="0"/>
      <w:divBdr>
        <w:top w:val="none" w:sz="0" w:space="0" w:color="auto"/>
        <w:left w:val="none" w:sz="0" w:space="0" w:color="auto"/>
        <w:bottom w:val="none" w:sz="0" w:space="0" w:color="auto"/>
        <w:right w:val="none" w:sz="0" w:space="0" w:color="auto"/>
      </w:divBdr>
    </w:div>
    <w:div w:id="49302921">
      <w:marLeft w:val="0"/>
      <w:marRight w:val="0"/>
      <w:marTop w:val="0"/>
      <w:marBottom w:val="0"/>
      <w:divBdr>
        <w:top w:val="none" w:sz="0" w:space="0" w:color="auto"/>
        <w:left w:val="none" w:sz="0" w:space="0" w:color="auto"/>
        <w:bottom w:val="none" w:sz="0" w:space="0" w:color="auto"/>
        <w:right w:val="none" w:sz="0" w:space="0" w:color="auto"/>
      </w:divBdr>
    </w:div>
    <w:div w:id="49302924">
      <w:marLeft w:val="0"/>
      <w:marRight w:val="0"/>
      <w:marTop w:val="0"/>
      <w:marBottom w:val="0"/>
      <w:divBdr>
        <w:top w:val="none" w:sz="0" w:space="0" w:color="auto"/>
        <w:left w:val="none" w:sz="0" w:space="0" w:color="auto"/>
        <w:bottom w:val="none" w:sz="0" w:space="0" w:color="auto"/>
        <w:right w:val="none" w:sz="0" w:space="0" w:color="auto"/>
      </w:divBdr>
    </w:div>
    <w:div w:id="49302925">
      <w:marLeft w:val="0"/>
      <w:marRight w:val="0"/>
      <w:marTop w:val="0"/>
      <w:marBottom w:val="0"/>
      <w:divBdr>
        <w:top w:val="none" w:sz="0" w:space="0" w:color="auto"/>
        <w:left w:val="none" w:sz="0" w:space="0" w:color="auto"/>
        <w:bottom w:val="none" w:sz="0" w:space="0" w:color="auto"/>
        <w:right w:val="none" w:sz="0" w:space="0" w:color="auto"/>
      </w:divBdr>
    </w:div>
    <w:div w:id="49302927">
      <w:marLeft w:val="0"/>
      <w:marRight w:val="0"/>
      <w:marTop w:val="0"/>
      <w:marBottom w:val="0"/>
      <w:divBdr>
        <w:top w:val="none" w:sz="0" w:space="0" w:color="auto"/>
        <w:left w:val="none" w:sz="0" w:space="0" w:color="auto"/>
        <w:bottom w:val="none" w:sz="0" w:space="0" w:color="auto"/>
        <w:right w:val="none" w:sz="0" w:space="0" w:color="auto"/>
      </w:divBdr>
    </w:div>
    <w:div w:id="49302928">
      <w:marLeft w:val="0"/>
      <w:marRight w:val="0"/>
      <w:marTop w:val="0"/>
      <w:marBottom w:val="0"/>
      <w:divBdr>
        <w:top w:val="none" w:sz="0" w:space="0" w:color="auto"/>
        <w:left w:val="none" w:sz="0" w:space="0" w:color="auto"/>
        <w:bottom w:val="none" w:sz="0" w:space="0" w:color="auto"/>
        <w:right w:val="none" w:sz="0" w:space="0" w:color="auto"/>
      </w:divBdr>
    </w:div>
    <w:div w:id="49302929">
      <w:marLeft w:val="0"/>
      <w:marRight w:val="0"/>
      <w:marTop w:val="0"/>
      <w:marBottom w:val="0"/>
      <w:divBdr>
        <w:top w:val="none" w:sz="0" w:space="0" w:color="auto"/>
        <w:left w:val="none" w:sz="0" w:space="0" w:color="auto"/>
        <w:bottom w:val="none" w:sz="0" w:space="0" w:color="auto"/>
        <w:right w:val="none" w:sz="0" w:space="0" w:color="auto"/>
      </w:divBdr>
      <w:divsChild>
        <w:div w:id="49302907">
          <w:marLeft w:val="0"/>
          <w:marRight w:val="0"/>
          <w:marTop w:val="180"/>
          <w:marBottom w:val="240"/>
          <w:divBdr>
            <w:top w:val="none" w:sz="0" w:space="0" w:color="auto"/>
            <w:left w:val="none" w:sz="0" w:space="0" w:color="auto"/>
            <w:bottom w:val="none" w:sz="0" w:space="0" w:color="auto"/>
            <w:right w:val="none" w:sz="0" w:space="0" w:color="auto"/>
          </w:divBdr>
        </w:div>
        <w:div w:id="49302940">
          <w:marLeft w:val="0"/>
          <w:marRight w:val="0"/>
          <w:marTop w:val="180"/>
          <w:marBottom w:val="240"/>
          <w:divBdr>
            <w:top w:val="none" w:sz="0" w:space="0" w:color="auto"/>
            <w:left w:val="none" w:sz="0" w:space="0" w:color="auto"/>
            <w:bottom w:val="none" w:sz="0" w:space="0" w:color="auto"/>
            <w:right w:val="none" w:sz="0" w:space="0" w:color="auto"/>
          </w:divBdr>
        </w:div>
        <w:div w:id="49302945">
          <w:marLeft w:val="0"/>
          <w:marRight w:val="0"/>
          <w:marTop w:val="180"/>
          <w:marBottom w:val="240"/>
          <w:divBdr>
            <w:top w:val="none" w:sz="0" w:space="0" w:color="auto"/>
            <w:left w:val="none" w:sz="0" w:space="0" w:color="auto"/>
            <w:bottom w:val="none" w:sz="0" w:space="0" w:color="auto"/>
            <w:right w:val="none" w:sz="0" w:space="0" w:color="auto"/>
          </w:divBdr>
        </w:div>
        <w:div w:id="49302965">
          <w:marLeft w:val="0"/>
          <w:marRight w:val="0"/>
          <w:marTop w:val="180"/>
          <w:marBottom w:val="240"/>
          <w:divBdr>
            <w:top w:val="none" w:sz="0" w:space="0" w:color="auto"/>
            <w:left w:val="none" w:sz="0" w:space="0" w:color="auto"/>
            <w:bottom w:val="none" w:sz="0" w:space="0" w:color="auto"/>
            <w:right w:val="none" w:sz="0" w:space="0" w:color="auto"/>
          </w:divBdr>
        </w:div>
        <w:div w:id="49302972">
          <w:marLeft w:val="0"/>
          <w:marRight w:val="0"/>
          <w:marTop w:val="180"/>
          <w:marBottom w:val="240"/>
          <w:divBdr>
            <w:top w:val="none" w:sz="0" w:space="0" w:color="auto"/>
            <w:left w:val="none" w:sz="0" w:space="0" w:color="auto"/>
            <w:bottom w:val="none" w:sz="0" w:space="0" w:color="auto"/>
            <w:right w:val="none" w:sz="0" w:space="0" w:color="auto"/>
          </w:divBdr>
        </w:div>
        <w:div w:id="49302984">
          <w:marLeft w:val="0"/>
          <w:marRight w:val="0"/>
          <w:marTop w:val="180"/>
          <w:marBottom w:val="240"/>
          <w:divBdr>
            <w:top w:val="none" w:sz="0" w:space="0" w:color="auto"/>
            <w:left w:val="none" w:sz="0" w:space="0" w:color="auto"/>
            <w:bottom w:val="none" w:sz="0" w:space="0" w:color="auto"/>
            <w:right w:val="none" w:sz="0" w:space="0" w:color="auto"/>
          </w:divBdr>
        </w:div>
        <w:div w:id="49302993">
          <w:marLeft w:val="0"/>
          <w:marRight w:val="0"/>
          <w:marTop w:val="180"/>
          <w:marBottom w:val="240"/>
          <w:divBdr>
            <w:top w:val="none" w:sz="0" w:space="0" w:color="auto"/>
            <w:left w:val="none" w:sz="0" w:space="0" w:color="auto"/>
            <w:bottom w:val="none" w:sz="0" w:space="0" w:color="auto"/>
            <w:right w:val="none" w:sz="0" w:space="0" w:color="auto"/>
          </w:divBdr>
        </w:div>
        <w:div w:id="49303011">
          <w:marLeft w:val="0"/>
          <w:marRight w:val="0"/>
          <w:marTop w:val="180"/>
          <w:marBottom w:val="240"/>
          <w:divBdr>
            <w:top w:val="none" w:sz="0" w:space="0" w:color="auto"/>
            <w:left w:val="none" w:sz="0" w:space="0" w:color="auto"/>
            <w:bottom w:val="none" w:sz="0" w:space="0" w:color="auto"/>
            <w:right w:val="none" w:sz="0" w:space="0" w:color="auto"/>
          </w:divBdr>
        </w:div>
        <w:div w:id="49303015">
          <w:marLeft w:val="0"/>
          <w:marRight w:val="0"/>
          <w:marTop w:val="180"/>
          <w:marBottom w:val="240"/>
          <w:divBdr>
            <w:top w:val="none" w:sz="0" w:space="0" w:color="auto"/>
            <w:left w:val="none" w:sz="0" w:space="0" w:color="auto"/>
            <w:bottom w:val="none" w:sz="0" w:space="0" w:color="auto"/>
            <w:right w:val="none" w:sz="0" w:space="0" w:color="auto"/>
          </w:divBdr>
        </w:div>
        <w:div w:id="49303017">
          <w:marLeft w:val="0"/>
          <w:marRight w:val="0"/>
          <w:marTop w:val="360"/>
          <w:marBottom w:val="180"/>
          <w:divBdr>
            <w:top w:val="none" w:sz="0" w:space="0" w:color="auto"/>
            <w:left w:val="none" w:sz="0" w:space="0" w:color="auto"/>
            <w:bottom w:val="none" w:sz="0" w:space="0" w:color="auto"/>
            <w:right w:val="none" w:sz="0" w:space="0" w:color="auto"/>
          </w:divBdr>
        </w:div>
        <w:div w:id="49303022">
          <w:marLeft w:val="0"/>
          <w:marRight w:val="0"/>
          <w:marTop w:val="180"/>
          <w:marBottom w:val="240"/>
          <w:divBdr>
            <w:top w:val="none" w:sz="0" w:space="0" w:color="auto"/>
            <w:left w:val="none" w:sz="0" w:space="0" w:color="auto"/>
            <w:bottom w:val="none" w:sz="0" w:space="0" w:color="auto"/>
            <w:right w:val="none" w:sz="0" w:space="0" w:color="auto"/>
          </w:divBdr>
        </w:div>
      </w:divsChild>
    </w:div>
    <w:div w:id="49302932">
      <w:marLeft w:val="0"/>
      <w:marRight w:val="0"/>
      <w:marTop w:val="0"/>
      <w:marBottom w:val="0"/>
      <w:divBdr>
        <w:top w:val="none" w:sz="0" w:space="0" w:color="auto"/>
        <w:left w:val="none" w:sz="0" w:space="0" w:color="auto"/>
        <w:bottom w:val="none" w:sz="0" w:space="0" w:color="auto"/>
        <w:right w:val="none" w:sz="0" w:space="0" w:color="auto"/>
      </w:divBdr>
    </w:div>
    <w:div w:id="49302935">
      <w:marLeft w:val="0"/>
      <w:marRight w:val="0"/>
      <w:marTop w:val="0"/>
      <w:marBottom w:val="0"/>
      <w:divBdr>
        <w:top w:val="none" w:sz="0" w:space="0" w:color="auto"/>
        <w:left w:val="none" w:sz="0" w:space="0" w:color="auto"/>
        <w:bottom w:val="none" w:sz="0" w:space="0" w:color="auto"/>
        <w:right w:val="none" w:sz="0" w:space="0" w:color="auto"/>
      </w:divBdr>
    </w:div>
    <w:div w:id="49302936">
      <w:marLeft w:val="0"/>
      <w:marRight w:val="0"/>
      <w:marTop w:val="0"/>
      <w:marBottom w:val="0"/>
      <w:divBdr>
        <w:top w:val="none" w:sz="0" w:space="0" w:color="auto"/>
        <w:left w:val="none" w:sz="0" w:space="0" w:color="auto"/>
        <w:bottom w:val="none" w:sz="0" w:space="0" w:color="auto"/>
        <w:right w:val="none" w:sz="0" w:space="0" w:color="auto"/>
      </w:divBdr>
    </w:div>
    <w:div w:id="49302938">
      <w:marLeft w:val="0"/>
      <w:marRight w:val="0"/>
      <w:marTop w:val="0"/>
      <w:marBottom w:val="0"/>
      <w:divBdr>
        <w:top w:val="none" w:sz="0" w:space="0" w:color="auto"/>
        <w:left w:val="none" w:sz="0" w:space="0" w:color="auto"/>
        <w:bottom w:val="none" w:sz="0" w:space="0" w:color="auto"/>
        <w:right w:val="none" w:sz="0" w:space="0" w:color="auto"/>
      </w:divBdr>
    </w:div>
    <w:div w:id="49302939">
      <w:marLeft w:val="0"/>
      <w:marRight w:val="0"/>
      <w:marTop w:val="0"/>
      <w:marBottom w:val="0"/>
      <w:divBdr>
        <w:top w:val="none" w:sz="0" w:space="0" w:color="auto"/>
        <w:left w:val="none" w:sz="0" w:space="0" w:color="auto"/>
        <w:bottom w:val="none" w:sz="0" w:space="0" w:color="auto"/>
        <w:right w:val="none" w:sz="0" w:space="0" w:color="auto"/>
      </w:divBdr>
    </w:div>
    <w:div w:id="49302943">
      <w:marLeft w:val="0"/>
      <w:marRight w:val="0"/>
      <w:marTop w:val="0"/>
      <w:marBottom w:val="0"/>
      <w:divBdr>
        <w:top w:val="none" w:sz="0" w:space="0" w:color="auto"/>
        <w:left w:val="none" w:sz="0" w:space="0" w:color="auto"/>
        <w:bottom w:val="none" w:sz="0" w:space="0" w:color="auto"/>
        <w:right w:val="none" w:sz="0" w:space="0" w:color="auto"/>
      </w:divBdr>
    </w:div>
    <w:div w:id="49302944">
      <w:marLeft w:val="0"/>
      <w:marRight w:val="0"/>
      <w:marTop w:val="0"/>
      <w:marBottom w:val="0"/>
      <w:divBdr>
        <w:top w:val="none" w:sz="0" w:space="0" w:color="auto"/>
        <w:left w:val="none" w:sz="0" w:space="0" w:color="auto"/>
        <w:bottom w:val="none" w:sz="0" w:space="0" w:color="auto"/>
        <w:right w:val="none" w:sz="0" w:space="0" w:color="auto"/>
      </w:divBdr>
    </w:div>
    <w:div w:id="49302946">
      <w:marLeft w:val="0"/>
      <w:marRight w:val="0"/>
      <w:marTop w:val="0"/>
      <w:marBottom w:val="0"/>
      <w:divBdr>
        <w:top w:val="none" w:sz="0" w:space="0" w:color="auto"/>
        <w:left w:val="none" w:sz="0" w:space="0" w:color="auto"/>
        <w:bottom w:val="none" w:sz="0" w:space="0" w:color="auto"/>
        <w:right w:val="none" w:sz="0" w:space="0" w:color="auto"/>
      </w:divBdr>
      <w:divsChild>
        <w:div w:id="49302901">
          <w:marLeft w:val="0"/>
          <w:marRight w:val="0"/>
          <w:marTop w:val="180"/>
          <w:marBottom w:val="240"/>
          <w:divBdr>
            <w:top w:val="none" w:sz="0" w:space="0" w:color="auto"/>
            <w:left w:val="none" w:sz="0" w:space="0" w:color="auto"/>
            <w:bottom w:val="none" w:sz="0" w:space="0" w:color="auto"/>
            <w:right w:val="none" w:sz="0" w:space="0" w:color="auto"/>
          </w:divBdr>
        </w:div>
        <w:div w:id="49302906">
          <w:marLeft w:val="0"/>
          <w:marRight w:val="0"/>
          <w:marTop w:val="180"/>
          <w:marBottom w:val="240"/>
          <w:divBdr>
            <w:top w:val="none" w:sz="0" w:space="0" w:color="auto"/>
            <w:left w:val="none" w:sz="0" w:space="0" w:color="auto"/>
            <w:bottom w:val="none" w:sz="0" w:space="0" w:color="auto"/>
            <w:right w:val="none" w:sz="0" w:space="0" w:color="auto"/>
          </w:divBdr>
        </w:div>
        <w:div w:id="49302941">
          <w:marLeft w:val="0"/>
          <w:marRight w:val="0"/>
          <w:marTop w:val="180"/>
          <w:marBottom w:val="240"/>
          <w:divBdr>
            <w:top w:val="none" w:sz="0" w:space="0" w:color="auto"/>
            <w:left w:val="none" w:sz="0" w:space="0" w:color="auto"/>
            <w:bottom w:val="none" w:sz="0" w:space="0" w:color="auto"/>
            <w:right w:val="none" w:sz="0" w:space="0" w:color="auto"/>
          </w:divBdr>
        </w:div>
        <w:div w:id="49302997">
          <w:marLeft w:val="0"/>
          <w:marRight w:val="0"/>
          <w:marTop w:val="180"/>
          <w:marBottom w:val="240"/>
          <w:divBdr>
            <w:top w:val="none" w:sz="0" w:space="0" w:color="auto"/>
            <w:left w:val="none" w:sz="0" w:space="0" w:color="auto"/>
            <w:bottom w:val="none" w:sz="0" w:space="0" w:color="auto"/>
            <w:right w:val="none" w:sz="0" w:space="0" w:color="auto"/>
          </w:divBdr>
        </w:div>
        <w:div w:id="49303004">
          <w:marLeft w:val="0"/>
          <w:marRight w:val="0"/>
          <w:marTop w:val="180"/>
          <w:marBottom w:val="240"/>
          <w:divBdr>
            <w:top w:val="none" w:sz="0" w:space="0" w:color="auto"/>
            <w:left w:val="none" w:sz="0" w:space="0" w:color="auto"/>
            <w:bottom w:val="none" w:sz="0" w:space="0" w:color="auto"/>
            <w:right w:val="none" w:sz="0" w:space="0" w:color="auto"/>
          </w:divBdr>
        </w:div>
      </w:divsChild>
    </w:div>
    <w:div w:id="49302947">
      <w:marLeft w:val="0"/>
      <w:marRight w:val="0"/>
      <w:marTop w:val="0"/>
      <w:marBottom w:val="0"/>
      <w:divBdr>
        <w:top w:val="none" w:sz="0" w:space="0" w:color="auto"/>
        <w:left w:val="none" w:sz="0" w:space="0" w:color="auto"/>
        <w:bottom w:val="none" w:sz="0" w:space="0" w:color="auto"/>
        <w:right w:val="none" w:sz="0" w:space="0" w:color="auto"/>
      </w:divBdr>
    </w:div>
    <w:div w:id="49302948">
      <w:marLeft w:val="0"/>
      <w:marRight w:val="0"/>
      <w:marTop w:val="0"/>
      <w:marBottom w:val="0"/>
      <w:divBdr>
        <w:top w:val="none" w:sz="0" w:space="0" w:color="auto"/>
        <w:left w:val="none" w:sz="0" w:space="0" w:color="auto"/>
        <w:bottom w:val="none" w:sz="0" w:space="0" w:color="auto"/>
        <w:right w:val="none" w:sz="0" w:space="0" w:color="auto"/>
      </w:divBdr>
    </w:div>
    <w:div w:id="49302949">
      <w:marLeft w:val="0"/>
      <w:marRight w:val="0"/>
      <w:marTop w:val="0"/>
      <w:marBottom w:val="0"/>
      <w:divBdr>
        <w:top w:val="none" w:sz="0" w:space="0" w:color="auto"/>
        <w:left w:val="none" w:sz="0" w:space="0" w:color="auto"/>
        <w:bottom w:val="none" w:sz="0" w:space="0" w:color="auto"/>
        <w:right w:val="none" w:sz="0" w:space="0" w:color="auto"/>
      </w:divBdr>
    </w:div>
    <w:div w:id="49302951">
      <w:marLeft w:val="0"/>
      <w:marRight w:val="0"/>
      <w:marTop w:val="0"/>
      <w:marBottom w:val="0"/>
      <w:divBdr>
        <w:top w:val="none" w:sz="0" w:space="0" w:color="auto"/>
        <w:left w:val="none" w:sz="0" w:space="0" w:color="auto"/>
        <w:bottom w:val="none" w:sz="0" w:space="0" w:color="auto"/>
        <w:right w:val="none" w:sz="0" w:space="0" w:color="auto"/>
      </w:divBdr>
    </w:div>
    <w:div w:id="49302954">
      <w:marLeft w:val="0"/>
      <w:marRight w:val="0"/>
      <w:marTop w:val="0"/>
      <w:marBottom w:val="0"/>
      <w:divBdr>
        <w:top w:val="none" w:sz="0" w:space="0" w:color="auto"/>
        <w:left w:val="none" w:sz="0" w:space="0" w:color="auto"/>
        <w:bottom w:val="none" w:sz="0" w:space="0" w:color="auto"/>
        <w:right w:val="none" w:sz="0" w:space="0" w:color="auto"/>
      </w:divBdr>
    </w:div>
    <w:div w:id="49302955">
      <w:marLeft w:val="0"/>
      <w:marRight w:val="0"/>
      <w:marTop w:val="0"/>
      <w:marBottom w:val="0"/>
      <w:divBdr>
        <w:top w:val="none" w:sz="0" w:space="0" w:color="auto"/>
        <w:left w:val="none" w:sz="0" w:space="0" w:color="auto"/>
        <w:bottom w:val="none" w:sz="0" w:space="0" w:color="auto"/>
        <w:right w:val="none" w:sz="0" w:space="0" w:color="auto"/>
      </w:divBdr>
    </w:div>
    <w:div w:id="49302956">
      <w:marLeft w:val="0"/>
      <w:marRight w:val="0"/>
      <w:marTop w:val="0"/>
      <w:marBottom w:val="0"/>
      <w:divBdr>
        <w:top w:val="none" w:sz="0" w:space="0" w:color="auto"/>
        <w:left w:val="none" w:sz="0" w:space="0" w:color="auto"/>
        <w:bottom w:val="none" w:sz="0" w:space="0" w:color="auto"/>
        <w:right w:val="none" w:sz="0" w:space="0" w:color="auto"/>
      </w:divBdr>
      <w:divsChild>
        <w:div w:id="49303005">
          <w:marLeft w:val="0"/>
          <w:marRight w:val="0"/>
          <w:marTop w:val="180"/>
          <w:marBottom w:val="240"/>
          <w:divBdr>
            <w:top w:val="none" w:sz="0" w:space="0" w:color="auto"/>
            <w:left w:val="none" w:sz="0" w:space="0" w:color="auto"/>
            <w:bottom w:val="none" w:sz="0" w:space="0" w:color="auto"/>
            <w:right w:val="none" w:sz="0" w:space="0" w:color="auto"/>
          </w:divBdr>
        </w:div>
        <w:div w:id="49303014">
          <w:marLeft w:val="0"/>
          <w:marRight w:val="0"/>
          <w:marTop w:val="180"/>
          <w:marBottom w:val="240"/>
          <w:divBdr>
            <w:top w:val="none" w:sz="0" w:space="0" w:color="auto"/>
            <w:left w:val="none" w:sz="0" w:space="0" w:color="auto"/>
            <w:bottom w:val="none" w:sz="0" w:space="0" w:color="auto"/>
            <w:right w:val="none" w:sz="0" w:space="0" w:color="auto"/>
          </w:divBdr>
        </w:div>
      </w:divsChild>
    </w:div>
    <w:div w:id="49302959">
      <w:marLeft w:val="0"/>
      <w:marRight w:val="0"/>
      <w:marTop w:val="0"/>
      <w:marBottom w:val="0"/>
      <w:divBdr>
        <w:top w:val="none" w:sz="0" w:space="0" w:color="auto"/>
        <w:left w:val="none" w:sz="0" w:space="0" w:color="auto"/>
        <w:bottom w:val="none" w:sz="0" w:space="0" w:color="auto"/>
        <w:right w:val="none" w:sz="0" w:space="0" w:color="auto"/>
      </w:divBdr>
    </w:div>
    <w:div w:id="49302960">
      <w:marLeft w:val="0"/>
      <w:marRight w:val="0"/>
      <w:marTop w:val="0"/>
      <w:marBottom w:val="0"/>
      <w:divBdr>
        <w:top w:val="none" w:sz="0" w:space="0" w:color="auto"/>
        <w:left w:val="none" w:sz="0" w:space="0" w:color="auto"/>
        <w:bottom w:val="none" w:sz="0" w:space="0" w:color="auto"/>
        <w:right w:val="none" w:sz="0" w:space="0" w:color="auto"/>
      </w:divBdr>
    </w:div>
    <w:div w:id="49302964">
      <w:marLeft w:val="0"/>
      <w:marRight w:val="0"/>
      <w:marTop w:val="0"/>
      <w:marBottom w:val="0"/>
      <w:divBdr>
        <w:top w:val="none" w:sz="0" w:space="0" w:color="auto"/>
        <w:left w:val="none" w:sz="0" w:space="0" w:color="auto"/>
        <w:bottom w:val="none" w:sz="0" w:space="0" w:color="auto"/>
        <w:right w:val="none" w:sz="0" w:space="0" w:color="auto"/>
      </w:divBdr>
    </w:div>
    <w:div w:id="49302966">
      <w:marLeft w:val="0"/>
      <w:marRight w:val="0"/>
      <w:marTop w:val="0"/>
      <w:marBottom w:val="0"/>
      <w:divBdr>
        <w:top w:val="none" w:sz="0" w:space="0" w:color="auto"/>
        <w:left w:val="none" w:sz="0" w:space="0" w:color="auto"/>
        <w:bottom w:val="none" w:sz="0" w:space="0" w:color="auto"/>
        <w:right w:val="none" w:sz="0" w:space="0" w:color="auto"/>
      </w:divBdr>
    </w:div>
    <w:div w:id="49302967">
      <w:marLeft w:val="0"/>
      <w:marRight w:val="0"/>
      <w:marTop w:val="0"/>
      <w:marBottom w:val="0"/>
      <w:divBdr>
        <w:top w:val="none" w:sz="0" w:space="0" w:color="auto"/>
        <w:left w:val="none" w:sz="0" w:space="0" w:color="auto"/>
        <w:bottom w:val="none" w:sz="0" w:space="0" w:color="auto"/>
        <w:right w:val="none" w:sz="0" w:space="0" w:color="auto"/>
      </w:divBdr>
    </w:div>
    <w:div w:id="49302968">
      <w:marLeft w:val="0"/>
      <w:marRight w:val="0"/>
      <w:marTop w:val="0"/>
      <w:marBottom w:val="0"/>
      <w:divBdr>
        <w:top w:val="none" w:sz="0" w:space="0" w:color="auto"/>
        <w:left w:val="none" w:sz="0" w:space="0" w:color="auto"/>
        <w:bottom w:val="none" w:sz="0" w:space="0" w:color="auto"/>
        <w:right w:val="none" w:sz="0" w:space="0" w:color="auto"/>
      </w:divBdr>
      <w:divsChild>
        <w:div w:id="49302912">
          <w:marLeft w:val="0"/>
          <w:marRight w:val="0"/>
          <w:marTop w:val="180"/>
          <w:marBottom w:val="240"/>
          <w:divBdr>
            <w:top w:val="none" w:sz="0" w:space="0" w:color="auto"/>
            <w:left w:val="none" w:sz="0" w:space="0" w:color="auto"/>
            <w:bottom w:val="none" w:sz="0" w:space="0" w:color="auto"/>
            <w:right w:val="none" w:sz="0" w:space="0" w:color="auto"/>
          </w:divBdr>
        </w:div>
        <w:div w:id="49302933">
          <w:marLeft w:val="0"/>
          <w:marRight w:val="0"/>
          <w:marTop w:val="180"/>
          <w:marBottom w:val="240"/>
          <w:divBdr>
            <w:top w:val="none" w:sz="0" w:space="0" w:color="auto"/>
            <w:left w:val="none" w:sz="0" w:space="0" w:color="auto"/>
            <w:bottom w:val="none" w:sz="0" w:space="0" w:color="auto"/>
            <w:right w:val="none" w:sz="0" w:space="0" w:color="auto"/>
          </w:divBdr>
        </w:div>
        <w:div w:id="49302934">
          <w:marLeft w:val="0"/>
          <w:marRight w:val="0"/>
          <w:marTop w:val="180"/>
          <w:marBottom w:val="240"/>
          <w:divBdr>
            <w:top w:val="none" w:sz="0" w:space="0" w:color="auto"/>
            <w:left w:val="none" w:sz="0" w:space="0" w:color="auto"/>
            <w:bottom w:val="none" w:sz="0" w:space="0" w:color="auto"/>
            <w:right w:val="none" w:sz="0" w:space="0" w:color="auto"/>
          </w:divBdr>
        </w:div>
        <w:div w:id="49302958">
          <w:marLeft w:val="0"/>
          <w:marRight w:val="0"/>
          <w:marTop w:val="180"/>
          <w:marBottom w:val="240"/>
          <w:divBdr>
            <w:top w:val="none" w:sz="0" w:space="0" w:color="auto"/>
            <w:left w:val="none" w:sz="0" w:space="0" w:color="auto"/>
            <w:bottom w:val="none" w:sz="0" w:space="0" w:color="auto"/>
            <w:right w:val="none" w:sz="0" w:space="0" w:color="auto"/>
          </w:divBdr>
        </w:div>
        <w:div w:id="49302961">
          <w:marLeft w:val="0"/>
          <w:marRight w:val="0"/>
          <w:marTop w:val="180"/>
          <w:marBottom w:val="240"/>
          <w:divBdr>
            <w:top w:val="none" w:sz="0" w:space="0" w:color="auto"/>
            <w:left w:val="none" w:sz="0" w:space="0" w:color="auto"/>
            <w:bottom w:val="none" w:sz="0" w:space="0" w:color="auto"/>
            <w:right w:val="none" w:sz="0" w:space="0" w:color="auto"/>
          </w:divBdr>
        </w:div>
        <w:div w:id="49303001">
          <w:marLeft w:val="0"/>
          <w:marRight w:val="0"/>
          <w:marTop w:val="180"/>
          <w:marBottom w:val="240"/>
          <w:divBdr>
            <w:top w:val="none" w:sz="0" w:space="0" w:color="auto"/>
            <w:left w:val="none" w:sz="0" w:space="0" w:color="auto"/>
            <w:bottom w:val="none" w:sz="0" w:space="0" w:color="auto"/>
            <w:right w:val="none" w:sz="0" w:space="0" w:color="auto"/>
          </w:divBdr>
        </w:div>
      </w:divsChild>
    </w:div>
    <w:div w:id="49302970">
      <w:marLeft w:val="0"/>
      <w:marRight w:val="0"/>
      <w:marTop w:val="0"/>
      <w:marBottom w:val="0"/>
      <w:divBdr>
        <w:top w:val="none" w:sz="0" w:space="0" w:color="auto"/>
        <w:left w:val="none" w:sz="0" w:space="0" w:color="auto"/>
        <w:bottom w:val="none" w:sz="0" w:space="0" w:color="auto"/>
        <w:right w:val="none" w:sz="0" w:space="0" w:color="auto"/>
      </w:divBdr>
    </w:div>
    <w:div w:id="49302971">
      <w:marLeft w:val="0"/>
      <w:marRight w:val="0"/>
      <w:marTop w:val="0"/>
      <w:marBottom w:val="0"/>
      <w:divBdr>
        <w:top w:val="none" w:sz="0" w:space="0" w:color="auto"/>
        <w:left w:val="none" w:sz="0" w:space="0" w:color="auto"/>
        <w:bottom w:val="none" w:sz="0" w:space="0" w:color="auto"/>
        <w:right w:val="none" w:sz="0" w:space="0" w:color="auto"/>
      </w:divBdr>
    </w:div>
    <w:div w:id="49302973">
      <w:marLeft w:val="0"/>
      <w:marRight w:val="0"/>
      <w:marTop w:val="0"/>
      <w:marBottom w:val="0"/>
      <w:divBdr>
        <w:top w:val="none" w:sz="0" w:space="0" w:color="auto"/>
        <w:left w:val="none" w:sz="0" w:space="0" w:color="auto"/>
        <w:bottom w:val="none" w:sz="0" w:space="0" w:color="auto"/>
        <w:right w:val="none" w:sz="0" w:space="0" w:color="auto"/>
      </w:divBdr>
    </w:div>
    <w:div w:id="49302974">
      <w:marLeft w:val="0"/>
      <w:marRight w:val="0"/>
      <w:marTop w:val="0"/>
      <w:marBottom w:val="0"/>
      <w:divBdr>
        <w:top w:val="none" w:sz="0" w:space="0" w:color="auto"/>
        <w:left w:val="none" w:sz="0" w:space="0" w:color="auto"/>
        <w:bottom w:val="none" w:sz="0" w:space="0" w:color="auto"/>
        <w:right w:val="none" w:sz="0" w:space="0" w:color="auto"/>
      </w:divBdr>
    </w:div>
    <w:div w:id="49302975">
      <w:marLeft w:val="0"/>
      <w:marRight w:val="0"/>
      <w:marTop w:val="0"/>
      <w:marBottom w:val="0"/>
      <w:divBdr>
        <w:top w:val="none" w:sz="0" w:space="0" w:color="auto"/>
        <w:left w:val="none" w:sz="0" w:space="0" w:color="auto"/>
        <w:bottom w:val="none" w:sz="0" w:space="0" w:color="auto"/>
        <w:right w:val="none" w:sz="0" w:space="0" w:color="auto"/>
      </w:divBdr>
    </w:div>
    <w:div w:id="49302976">
      <w:marLeft w:val="0"/>
      <w:marRight w:val="0"/>
      <w:marTop w:val="0"/>
      <w:marBottom w:val="0"/>
      <w:divBdr>
        <w:top w:val="none" w:sz="0" w:space="0" w:color="auto"/>
        <w:left w:val="none" w:sz="0" w:space="0" w:color="auto"/>
        <w:bottom w:val="none" w:sz="0" w:space="0" w:color="auto"/>
        <w:right w:val="none" w:sz="0" w:space="0" w:color="auto"/>
      </w:divBdr>
    </w:div>
    <w:div w:id="49302977">
      <w:marLeft w:val="0"/>
      <w:marRight w:val="0"/>
      <w:marTop w:val="0"/>
      <w:marBottom w:val="0"/>
      <w:divBdr>
        <w:top w:val="none" w:sz="0" w:space="0" w:color="auto"/>
        <w:left w:val="none" w:sz="0" w:space="0" w:color="auto"/>
        <w:bottom w:val="none" w:sz="0" w:space="0" w:color="auto"/>
        <w:right w:val="none" w:sz="0" w:space="0" w:color="auto"/>
      </w:divBdr>
    </w:div>
    <w:div w:id="49302978">
      <w:marLeft w:val="0"/>
      <w:marRight w:val="0"/>
      <w:marTop w:val="0"/>
      <w:marBottom w:val="0"/>
      <w:divBdr>
        <w:top w:val="none" w:sz="0" w:space="0" w:color="auto"/>
        <w:left w:val="none" w:sz="0" w:space="0" w:color="auto"/>
        <w:bottom w:val="none" w:sz="0" w:space="0" w:color="auto"/>
        <w:right w:val="none" w:sz="0" w:space="0" w:color="auto"/>
      </w:divBdr>
    </w:div>
    <w:div w:id="49302979">
      <w:marLeft w:val="0"/>
      <w:marRight w:val="0"/>
      <w:marTop w:val="0"/>
      <w:marBottom w:val="0"/>
      <w:divBdr>
        <w:top w:val="none" w:sz="0" w:space="0" w:color="auto"/>
        <w:left w:val="none" w:sz="0" w:space="0" w:color="auto"/>
        <w:bottom w:val="none" w:sz="0" w:space="0" w:color="auto"/>
        <w:right w:val="none" w:sz="0" w:space="0" w:color="auto"/>
      </w:divBdr>
    </w:div>
    <w:div w:id="49302980">
      <w:marLeft w:val="0"/>
      <w:marRight w:val="0"/>
      <w:marTop w:val="0"/>
      <w:marBottom w:val="0"/>
      <w:divBdr>
        <w:top w:val="none" w:sz="0" w:space="0" w:color="auto"/>
        <w:left w:val="none" w:sz="0" w:space="0" w:color="auto"/>
        <w:bottom w:val="none" w:sz="0" w:space="0" w:color="auto"/>
        <w:right w:val="none" w:sz="0" w:space="0" w:color="auto"/>
      </w:divBdr>
    </w:div>
    <w:div w:id="49302981">
      <w:marLeft w:val="0"/>
      <w:marRight w:val="0"/>
      <w:marTop w:val="0"/>
      <w:marBottom w:val="0"/>
      <w:divBdr>
        <w:top w:val="none" w:sz="0" w:space="0" w:color="auto"/>
        <w:left w:val="none" w:sz="0" w:space="0" w:color="auto"/>
        <w:bottom w:val="none" w:sz="0" w:space="0" w:color="auto"/>
        <w:right w:val="none" w:sz="0" w:space="0" w:color="auto"/>
      </w:divBdr>
    </w:div>
    <w:div w:id="49302982">
      <w:marLeft w:val="0"/>
      <w:marRight w:val="0"/>
      <w:marTop w:val="0"/>
      <w:marBottom w:val="0"/>
      <w:divBdr>
        <w:top w:val="none" w:sz="0" w:space="0" w:color="auto"/>
        <w:left w:val="none" w:sz="0" w:space="0" w:color="auto"/>
        <w:bottom w:val="none" w:sz="0" w:space="0" w:color="auto"/>
        <w:right w:val="none" w:sz="0" w:space="0" w:color="auto"/>
      </w:divBdr>
    </w:div>
    <w:div w:id="49302983">
      <w:marLeft w:val="0"/>
      <w:marRight w:val="0"/>
      <w:marTop w:val="0"/>
      <w:marBottom w:val="0"/>
      <w:divBdr>
        <w:top w:val="none" w:sz="0" w:space="0" w:color="auto"/>
        <w:left w:val="none" w:sz="0" w:space="0" w:color="auto"/>
        <w:bottom w:val="none" w:sz="0" w:space="0" w:color="auto"/>
        <w:right w:val="none" w:sz="0" w:space="0" w:color="auto"/>
      </w:divBdr>
    </w:div>
    <w:div w:id="49302985">
      <w:marLeft w:val="0"/>
      <w:marRight w:val="0"/>
      <w:marTop w:val="0"/>
      <w:marBottom w:val="0"/>
      <w:divBdr>
        <w:top w:val="none" w:sz="0" w:space="0" w:color="auto"/>
        <w:left w:val="none" w:sz="0" w:space="0" w:color="auto"/>
        <w:bottom w:val="none" w:sz="0" w:space="0" w:color="auto"/>
        <w:right w:val="none" w:sz="0" w:space="0" w:color="auto"/>
      </w:divBdr>
      <w:divsChild>
        <w:div w:id="49302920">
          <w:marLeft w:val="0"/>
          <w:marRight w:val="0"/>
          <w:marTop w:val="180"/>
          <w:marBottom w:val="240"/>
          <w:divBdr>
            <w:top w:val="none" w:sz="0" w:space="0" w:color="auto"/>
            <w:left w:val="none" w:sz="0" w:space="0" w:color="auto"/>
            <w:bottom w:val="none" w:sz="0" w:space="0" w:color="auto"/>
            <w:right w:val="none" w:sz="0" w:space="0" w:color="auto"/>
          </w:divBdr>
        </w:div>
        <w:div w:id="49302957">
          <w:marLeft w:val="0"/>
          <w:marRight w:val="0"/>
          <w:marTop w:val="180"/>
          <w:marBottom w:val="240"/>
          <w:divBdr>
            <w:top w:val="none" w:sz="0" w:space="0" w:color="auto"/>
            <w:left w:val="none" w:sz="0" w:space="0" w:color="auto"/>
            <w:bottom w:val="none" w:sz="0" w:space="0" w:color="auto"/>
            <w:right w:val="none" w:sz="0" w:space="0" w:color="auto"/>
          </w:divBdr>
        </w:div>
        <w:div w:id="49303016">
          <w:marLeft w:val="0"/>
          <w:marRight w:val="0"/>
          <w:marTop w:val="180"/>
          <w:marBottom w:val="240"/>
          <w:divBdr>
            <w:top w:val="none" w:sz="0" w:space="0" w:color="auto"/>
            <w:left w:val="none" w:sz="0" w:space="0" w:color="auto"/>
            <w:bottom w:val="none" w:sz="0" w:space="0" w:color="auto"/>
            <w:right w:val="none" w:sz="0" w:space="0" w:color="auto"/>
          </w:divBdr>
        </w:div>
      </w:divsChild>
    </w:div>
    <w:div w:id="49302986">
      <w:marLeft w:val="0"/>
      <w:marRight w:val="0"/>
      <w:marTop w:val="0"/>
      <w:marBottom w:val="0"/>
      <w:divBdr>
        <w:top w:val="none" w:sz="0" w:space="0" w:color="auto"/>
        <w:left w:val="none" w:sz="0" w:space="0" w:color="auto"/>
        <w:bottom w:val="none" w:sz="0" w:space="0" w:color="auto"/>
        <w:right w:val="none" w:sz="0" w:space="0" w:color="auto"/>
      </w:divBdr>
      <w:divsChild>
        <w:div w:id="49302893">
          <w:marLeft w:val="0"/>
          <w:marRight w:val="0"/>
          <w:marTop w:val="180"/>
          <w:marBottom w:val="240"/>
          <w:divBdr>
            <w:top w:val="none" w:sz="0" w:space="0" w:color="auto"/>
            <w:left w:val="none" w:sz="0" w:space="0" w:color="auto"/>
            <w:bottom w:val="none" w:sz="0" w:space="0" w:color="auto"/>
            <w:right w:val="none" w:sz="0" w:space="0" w:color="auto"/>
          </w:divBdr>
        </w:div>
        <w:div w:id="49302908">
          <w:marLeft w:val="0"/>
          <w:marRight w:val="0"/>
          <w:marTop w:val="180"/>
          <w:marBottom w:val="240"/>
          <w:divBdr>
            <w:top w:val="none" w:sz="0" w:space="0" w:color="auto"/>
            <w:left w:val="none" w:sz="0" w:space="0" w:color="auto"/>
            <w:bottom w:val="none" w:sz="0" w:space="0" w:color="auto"/>
            <w:right w:val="none" w:sz="0" w:space="0" w:color="auto"/>
          </w:divBdr>
        </w:div>
        <w:div w:id="49302922">
          <w:marLeft w:val="0"/>
          <w:marRight w:val="0"/>
          <w:marTop w:val="180"/>
          <w:marBottom w:val="240"/>
          <w:divBdr>
            <w:top w:val="none" w:sz="0" w:space="0" w:color="auto"/>
            <w:left w:val="none" w:sz="0" w:space="0" w:color="auto"/>
            <w:bottom w:val="none" w:sz="0" w:space="0" w:color="auto"/>
            <w:right w:val="none" w:sz="0" w:space="0" w:color="auto"/>
          </w:divBdr>
        </w:div>
        <w:div w:id="49302942">
          <w:marLeft w:val="0"/>
          <w:marRight w:val="0"/>
          <w:marTop w:val="180"/>
          <w:marBottom w:val="240"/>
          <w:divBdr>
            <w:top w:val="none" w:sz="0" w:space="0" w:color="auto"/>
            <w:left w:val="none" w:sz="0" w:space="0" w:color="auto"/>
            <w:bottom w:val="none" w:sz="0" w:space="0" w:color="auto"/>
            <w:right w:val="none" w:sz="0" w:space="0" w:color="auto"/>
          </w:divBdr>
        </w:div>
        <w:div w:id="49303002">
          <w:marLeft w:val="0"/>
          <w:marRight w:val="0"/>
          <w:marTop w:val="180"/>
          <w:marBottom w:val="240"/>
          <w:divBdr>
            <w:top w:val="none" w:sz="0" w:space="0" w:color="auto"/>
            <w:left w:val="none" w:sz="0" w:space="0" w:color="auto"/>
            <w:bottom w:val="none" w:sz="0" w:space="0" w:color="auto"/>
            <w:right w:val="none" w:sz="0" w:space="0" w:color="auto"/>
          </w:divBdr>
        </w:div>
        <w:div w:id="49303006">
          <w:marLeft w:val="0"/>
          <w:marRight w:val="0"/>
          <w:marTop w:val="180"/>
          <w:marBottom w:val="240"/>
          <w:divBdr>
            <w:top w:val="none" w:sz="0" w:space="0" w:color="auto"/>
            <w:left w:val="none" w:sz="0" w:space="0" w:color="auto"/>
            <w:bottom w:val="none" w:sz="0" w:space="0" w:color="auto"/>
            <w:right w:val="none" w:sz="0" w:space="0" w:color="auto"/>
          </w:divBdr>
        </w:div>
      </w:divsChild>
    </w:div>
    <w:div w:id="49302988">
      <w:marLeft w:val="0"/>
      <w:marRight w:val="0"/>
      <w:marTop w:val="0"/>
      <w:marBottom w:val="0"/>
      <w:divBdr>
        <w:top w:val="none" w:sz="0" w:space="0" w:color="auto"/>
        <w:left w:val="none" w:sz="0" w:space="0" w:color="auto"/>
        <w:bottom w:val="none" w:sz="0" w:space="0" w:color="auto"/>
        <w:right w:val="none" w:sz="0" w:space="0" w:color="auto"/>
      </w:divBdr>
    </w:div>
    <w:div w:id="49302989">
      <w:marLeft w:val="0"/>
      <w:marRight w:val="0"/>
      <w:marTop w:val="0"/>
      <w:marBottom w:val="0"/>
      <w:divBdr>
        <w:top w:val="none" w:sz="0" w:space="0" w:color="auto"/>
        <w:left w:val="none" w:sz="0" w:space="0" w:color="auto"/>
        <w:bottom w:val="none" w:sz="0" w:space="0" w:color="auto"/>
        <w:right w:val="none" w:sz="0" w:space="0" w:color="auto"/>
      </w:divBdr>
    </w:div>
    <w:div w:id="49302991">
      <w:marLeft w:val="0"/>
      <w:marRight w:val="0"/>
      <w:marTop w:val="0"/>
      <w:marBottom w:val="0"/>
      <w:divBdr>
        <w:top w:val="none" w:sz="0" w:space="0" w:color="auto"/>
        <w:left w:val="none" w:sz="0" w:space="0" w:color="auto"/>
        <w:bottom w:val="none" w:sz="0" w:space="0" w:color="auto"/>
        <w:right w:val="none" w:sz="0" w:space="0" w:color="auto"/>
      </w:divBdr>
    </w:div>
    <w:div w:id="49302992">
      <w:marLeft w:val="0"/>
      <w:marRight w:val="0"/>
      <w:marTop w:val="0"/>
      <w:marBottom w:val="0"/>
      <w:divBdr>
        <w:top w:val="none" w:sz="0" w:space="0" w:color="auto"/>
        <w:left w:val="none" w:sz="0" w:space="0" w:color="auto"/>
        <w:bottom w:val="none" w:sz="0" w:space="0" w:color="auto"/>
        <w:right w:val="none" w:sz="0" w:space="0" w:color="auto"/>
      </w:divBdr>
    </w:div>
    <w:div w:id="49302994">
      <w:marLeft w:val="0"/>
      <w:marRight w:val="0"/>
      <w:marTop w:val="0"/>
      <w:marBottom w:val="0"/>
      <w:divBdr>
        <w:top w:val="none" w:sz="0" w:space="0" w:color="auto"/>
        <w:left w:val="none" w:sz="0" w:space="0" w:color="auto"/>
        <w:bottom w:val="none" w:sz="0" w:space="0" w:color="auto"/>
        <w:right w:val="none" w:sz="0" w:space="0" w:color="auto"/>
      </w:divBdr>
    </w:div>
    <w:div w:id="49302995">
      <w:marLeft w:val="0"/>
      <w:marRight w:val="0"/>
      <w:marTop w:val="0"/>
      <w:marBottom w:val="0"/>
      <w:divBdr>
        <w:top w:val="none" w:sz="0" w:space="0" w:color="auto"/>
        <w:left w:val="none" w:sz="0" w:space="0" w:color="auto"/>
        <w:bottom w:val="none" w:sz="0" w:space="0" w:color="auto"/>
        <w:right w:val="none" w:sz="0" w:space="0" w:color="auto"/>
      </w:divBdr>
    </w:div>
    <w:div w:id="49302996">
      <w:marLeft w:val="0"/>
      <w:marRight w:val="0"/>
      <w:marTop w:val="0"/>
      <w:marBottom w:val="0"/>
      <w:divBdr>
        <w:top w:val="none" w:sz="0" w:space="0" w:color="auto"/>
        <w:left w:val="none" w:sz="0" w:space="0" w:color="auto"/>
        <w:bottom w:val="none" w:sz="0" w:space="0" w:color="auto"/>
        <w:right w:val="none" w:sz="0" w:space="0" w:color="auto"/>
      </w:divBdr>
    </w:div>
    <w:div w:id="49302998">
      <w:marLeft w:val="0"/>
      <w:marRight w:val="0"/>
      <w:marTop w:val="0"/>
      <w:marBottom w:val="0"/>
      <w:divBdr>
        <w:top w:val="none" w:sz="0" w:space="0" w:color="auto"/>
        <w:left w:val="none" w:sz="0" w:space="0" w:color="auto"/>
        <w:bottom w:val="none" w:sz="0" w:space="0" w:color="auto"/>
        <w:right w:val="none" w:sz="0" w:space="0" w:color="auto"/>
      </w:divBdr>
    </w:div>
    <w:div w:id="49302999">
      <w:marLeft w:val="0"/>
      <w:marRight w:val="0"/>
      <w:marTop w:val="0"/>
      <w:marBottom w:val="0"/>
      <w:divBdr>
        <w:top w:val="none" w:sz="0" w:space="0" w:color="auto"/>
        <w:left w:val="none" w:sz="0" w:space="0" w:color="auto"/>
        <w:bottom w:val="none" w:sz="0" w:space="0" w:color="auto"/>
        <w:right w:val="none" w:sz="0" w:space="0" w:color="auto"/>
      </w:divBdr>
    </w:div>
    <w:div w:id="49303003">
      <w:marLeft w:val="0"/>
      <w:marRight w:val="0"/>
      <w:marTop w:val="0"/>
      <w:marBottom w:val="0"/>
      <w:divBdr>
        <w:top w:val="none" w:sz="0" w:space="0" w:color="auto"/>
        <w:left w:val="none" w:sz="0" w:space="0" w:color="auto"/>
        <w:bottom w:val="none" w:sz="0" w:space="0" w:color="auto"/>
        <w:right w:val="none" w:sz="0" w:space="0" w:color="auto"/>
      </w:divBdr>
    </w:div>
    <w:div w:id="49303007">
      <w:marLeft w:val="0"/>
      <w:marRight w:val="0"/>
      <w:marTop w:val="0"/>
      <w:marBottom w:val="0"/>
      <w:divBdr>
        <w:top w:val="none" w:sz="0" w:space="0" w:color="auto"/>
        <w:left w:val="none" w:sz="0" w:space="0" w:color="auto"/>
        <w:bottom w:val="none" w:sz="0" w:space="0" w:color="auto"/>
        <w:right w:val="none" w:sz="0" w:space="0" w:color="auto"/>
      </w:divBdr>
      <w:divsChild>
        <w:div w:id="49302899">
          <w:marLeft w:val="0"/>
          <w:marRight w:val="0"/>
          <w:marTop w:val="180"/>
          <w:marBottom w:val="240"/>
          <w:divBdr>
            <w:top w:val="none" w:sz="0" w:space="0" w:color="auto"/>
            <w:left w:val="none" w:sz="0" w:space="0" w:color="auto"/>
            <w:bottom w:val="none" w:sz="0" w:space="0" w:color="auto"/>
            <w:right w:val="none" w:sz="0" w:space="0" w:color="auto"/>
          </w:divBdr>
        </w:div>
        <w:div w:id="49302923">
          <w:marLeft w:val="0"/>
          <w:marRight w:val="0"/>
          <w:marTop w:val="180"/>
          <w:marBottom w:val="240"/>
          <w:divBdr>
            <w:top w:val="none" w:sz="0" w:space="0" w:color="auto"/>
            <w:left w:val="none" w:sz="0" w:space="0" w:color="auto"/>
            <w:bottom w:val="none" w:sz="0" w:space="0" w:color="auto"/>
            <w:right w:val="none" w:sz="0" w:space="0" w:color="auto"/>
          </w:divBdr>
        </w:div>
        <w:div w:id="49302990">
          <w:marLeft w:val="0"/>
          <w:marRight w:val="0"/>
          <w:marTop w:val="180"/>
          <w:marBottom w:val="240"/>
          <w:divBdr>
            <w:top w:val="none" w:sz="0" w:space="0" w:color="auto"/>
            <w:left w:val="none" w:sz="0" w:space="0" w:color="auto"/>
            <w:bottom w:val="none" w:sz="0" w:space="0" w:color="auto"/>
            <w:right w:val="none" w:sz="0" w:space="0" w:color="auto"/>
          </w:divBdr>
        </w:div>
      </w:divsChild>
    </w:div>
    <w:div w:id="49303009">
      <w:marLeft w:val="0"/>
      <w:marRight w:val="0"/>
      <w:marTop w:val="0"/>
      <w:marBottom w:val="0"/>
      <w:divBdr>
        <w:top w:val="none" w:sz="0" w:space="0" w:color="auto"/>
        <w:left w:val="none" w:sz="0" w:space="0" w:color="auto"/>
        <w:bottom w:val="none" w:sz="0" w:space="0" w:color="auto"/>
        <w:right w:val="none" w:sz="0" w:space="0" w:color="auto"/>
      </w:divBdr>
    </w:div>
    <w:div w:id="49303010">
      <w:marLeft w:val="0"/>
      <w:marRight w:val="0"/>
      <w:marTop w:val="0"/>
      <w:marBottom w:val="0"/>
      <w:divBdr>
        <w:top w:val="none" w:sz="0" w:space="0" w:color="auto"/>
        <w:left w:val="none" w:sz="0" w:space="0" w:color="auto"/>
        <w:bottom w:val="none" w:sz="0" w:space="0" w:color="auto"/>
        <w:right w:val="none" w:sz="0" w:space="0" w:color="auto"/>
      </w:divBdr>
    </w:div>
    <w:div w:id="49303012">
      <w:marLeft w:val="0"/>
      <w:marRight w:val="0"/>
      <w:marTop w:val="0"/>
      <w:marBottom w:val="0"/>
      <w:divBdr>
        <w:top w:val="none" w:sz="0" w:space="0" w:color="auto"/>
        <w:left w:val="none" w:sz="0" w:space="0" w:color="auto"/>
        <w:bottom w:val="none" w:sz="0" w:space="0" w:color="auto"/>
        <w:right w:val="none" w:sz="0" w:space="0" w:color="auto"/>
      </w:divBdr>
    </w:div>
    <w:div w:id="49303018">
      <w:marLeft w:val="0"/>
      <w:marRight w:val="0"/>
      <w:marTop w:val="0"/>
      <w:marBottom w:val="0"/>
      <w:divBdr>
        <w:top w:val="none" w:sz="0" w:space="0" w:color="auto"/>
        <w:left w:val="none" w:sz="0" w:space="0" w:color="auto"/>
        <w:bottom w:val="none" w:sz="0" w:space="0" w:color="auto"/>
        <w:right w:val="none" w:sz="0" w:space="0" w:color="auto"/>
      </w:divBdr>
    </w:div>
    <w:div w:id="49303019">
      <w:marLeft w:val="0"/>
      <w:marRight w:val="0"/>
      <w:marTop w:val="0"/>
      <w:marBottom w:val="0"/>
      <w:divBdr>
        <w:top w:val="none" w:sz="0" w:space="0" w:color="auto"/>
        <w:left w:val="none" w:sz="0" w:space="0" w:color="auto"/>
        <w:bottom w:val="none" w:sz="0" w:space="0" w:color="auto"/>
        <w:right w:val="none" w:sz="0" w:space="0" w:color="auto"/>
      </w:divBdr>
    </w:div>
    <w:div w:id="49303020">
      <w:marLeft w:val="0"/>
      <w:marRight w:val="0"/>
      <w:marTop w:val="0"/>
      <w:marBottom w:val="0"/>
      <w:divBdr>
        <w:top w:val="none" w:sz="0" w:space="0" w:color="auto"/>
        <w:left w:val="none" w:sz="0" w:space="0" w:color="auto"/>
        <w:bottom w:val="none" w:sz="0" w:space="0" w:color="auto"/>
        <w:right w:val="none" w:sz="0" w:space="0" w:color="auto"/>
      </w:divBdr>
    </w:div>
    <w:div w:id="49303021">
      <w:marLeft w:val="0"/>
      <w:marRight w:val="0"/>
      <w:marTop w:val="0"/>
      <w:marBottom w:val="0"/>
      <w:divBdr>
        <w:top w:val="none" w:sz="0" w:space="0" w:color="auto"/>
        <w:left w:val="none" w:sz="0" w:space="0" w:color="auto"/>
        <w:bottom w:val="none" w:sz="0" w:space="0" w:color="auto"/>
        <w:right w:val="none" w:sz="0" w:space="0" w:color="auto"/>
      </w:divBdr>
      <w:divsChild>
        <w:div w:id="49302952">
          <w:marLeft w:val="0"/>
          <w:marRight w:val="0"/>
          <w:marTop w:val="180"/>
          <w:marBottom w:val="240"/>
          <w:divBdr>
            <w:top w:val="none" w:sz="0" w:space="0" w:color="auto"/>
            <w:left w:val="none" w:sz="0" w:space="0" w:color="auto"/>
            <w:bottom w:val="none" w:sz="0" w:space="0" w:color="auto"/>
            <w:right w:val="none" w:sz="0" w:space="0" w:color="auto"/>
          </w:divBdr>
        </w:div>
        <w:div w:id="49303013">
          <w:marLeft w:val="0"/>
          <w:marRight w:val="0"/>
          <w:marTop w:val="180"/>
          <w:marBottom w:val="240"/>
          <w:divBdr>
            <w:top w:val="none" w:sz="0" w:space="0" w:color="auto"/>
            <w:left w:val="none" w:sz="0" w:space="0" w:color="auto"/>
            <w:bottom w:val="none" w:sz="0" w:space="0" w:color="auto"/>
            <w:right w:val="none" w:sz="0" w:space="0" w:color="auto"/>
          </w:divBdr>
        </w:div>
      </w:divsChild>
    </w:div>
    <w:div w:id="49303023">
      <w:marLeft w:val="0"/>
      <w:marRight w:val="0"/>
      <w:marTop w:val="0"/>
      <w:marBottom w:val="0"/>
      <w:divBdr>
        <w:top w:val="none" w:sz="0" w:space="0" w:color="auto"/>
        <w:left w:val="none" w:sz="0" w:space="0" w:color="auto"/>
        <w:bottom w:val="none" w:sz="0" w:space="0" w:color="auto"/>
        <w:right w:val="none" w:sz="0" w:space="0" w:color="auto"/>
      </w:divBdr>
    </w:div>
    <w:div w:id="49303025">
      <w:marLeft w:val="0"/>
      <w:marRight w:val="0"/>
      <w:marTop w:val="0"/>
      <w:marBottom w:val="0"/>
      <w:divBdr>
        <w:top w:val="none" w:sz="0" w:space="0" w:color="auto"/>
        <w:left w:val="none" w:sz="0" w:space="0" w:color="auto"/>
        <w:bottom w:val="none" w:sz="0" w:space="0" w:color="auto"/>
        <w:right w:val="none" w:sz="0" w:space="0" w:color="auto"/>
      </w:divBdr>
    </w:div>
    <w:div w:id="417406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hart" Target="charts/chart2.xml"/><Relationship Id="rId18" Type="http://schemas.openxmlformats.org/officeDocument/2006/relationships/image" Target="media/image9.png"/><Relationship Id="rId26" Type="http://schemas.openxmlformats.org/officeDocument/2006/relationships/chart" Target="charts/chart11.xml"/><Relationship Id="rId3" Type="http://schemas.openxmlformats.org/officeDocument/2006/relationships/settings" Target="settings.xml"/><Relationship Id="rId21" Type="http://schemas.openxmlformats.org/officeDocument/2006/relationships/chart" Target="charts/chart6.xml"/><Relationship Id="rId7" Type="http://schemas.openxmlformats.org/officeDocument/2006/relationships/image" Target="media/image1.png"/><Relationship Id="rId12" Type="http://schemas.openxmlformats.org/officeDocument/2006/relationships/chart" Target="charts/chart1.xml"/><Relationship Id="rId17" Type="http://schemas.openxmlformats.org/officeDocument/2006/relationships/chart" Target="charts/chart3.xml"/><Relationship Id="rId25" Type="http://schemas.openxmlformats.org/officeDocument/2006/relationships/chart" Target="charts/chart10.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chart" Target="charts/chart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chart" Target="charts/chart9.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chart" Target="charts/chart8.xml"/><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 Id="rId22" Type="http://schemas.openxmlformats.org/officeDocument/2006/relationships/chart" Target="charts/chart7.xm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___________Microsoft_Excel.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___________Microsoft_Excel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G:\Velchev\&#1044;&#1080;&#1089;&#1077;&#1088;&#1090;&#1072;&#1094;&#1080;&#1103;\Tanymecus%20lures\Monitoring%202011%20new.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file:///G:\projects\Hrani%202018\Tanymecus\Tanymecus%20&amp;%20EO\Tanymecus%20dilaticollis%20&amp;%20EO%20Origanum%202022_PETRI%20Dish.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file:///G:\projects\Hrani%202018\Seminar%20Starosel%202022\Tanymecus%20dilaticollis%20&amp;%20EO%20Origanum%202022_CUP%20treatment_color.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oleObject" Target="file:///H:\Catches%20in%20colour%20unbaited%20traps%202014\Acta%20zoologica%20Bulgarica\AZB_Reviews\CORRECTED%20version\Figures%202-4%20Toshova%20et%20al.%20Nontarget%20Coleoptera.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oleObject" Target="file:///G:\Diabrotica%20MS\Fig.%201_Toshova%20et%20al.xlsx"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3" Type="http://schemas.openxmlformats.org/officeDocument/2006/relationships/chartUserShapes" Target="../drawings/drawing6.xml"/><Relationship Id="rId2" Type="http://schemas.openxmlformats.org/officeDocument/2006/relationships/oleObject" Target="../embeddings/oleObject2.bin"/><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3" Type="http://schemas.openxmlformats.org/officeDocument/2006/relationships/chartUserShapes" Target="../drawings/drawing7.xml"/><Relationship Id="rId2" Type="http://schemas.openxmlformats.org/officeDocument/2006/relationships/oleObject" Target="file:///F:\Velchev\&#1044;&#1080;&#1089;&#1077;&#1088;&#1090;&#1072;&#1094;&#1080;&#1103;\Oulema%20&amp;%20Naturalis\Oulema%20melanopus%20Adults_Naturalis%202019_lab%20test_corrected_BG.xlsx" TargetMode="External"/><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3" Type="http://schemas.openxmlformats.org/officeDocument/2006/relationships/chartUserShapes" Target="../drawings/drawing8.xml"/><Relationship Id="rId2" Type="http://schemas.openxmlformats.org/officeDocument/2006/relationships/oleObject" Target="file:///F:\Velchev\&#1044;&#1080;&#1089;&#1077;&#1088;&#1090;&#1072;&#1094;&#1080;&#1103;\Oulema%20&amp;%20Naturalis\Oulema%20melanopus%20Larvae%20&amp;%20Naturalis%202021_results%20Corrected_BG.xlsx" TargetMode="External"/><Relationship Id="rId1" Type="http://schemas.openxmlformats.org/officeDocument/2006/relationships/themeOverride" Target="../theme/themeOverride1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2811966531838099"/>
          <c:y val="9.151825613079019E-2"/>
          <c:w val="0.74342023228884357"/>
          <c:h val="0.67857438692098093"/>
        </c:manualLayout>
      </c:layout>
      <c:barChart>
        <c:barDir val="col"/>
        <c:grouping val="clustered"/>
        <c:varyColors val="0"/>
        <c:ser>
          <c:idx val="0"/>
          <c:order val="0"/>
          <c:spPr>
            <a:pattFill prst="ltDnDiag">
              <a:fgClr>
                <a:srgbClr xmlns:mc="http://schemas.openxmlformats.org/markup-compatibility/2006" xmlns:a14="http://schemas.microsoft.com/office/drawing/2010/main" val="333333" mc:Ignorable="a14" a14:legacySpreadsheetColorIndex="63"/>
              </a:fgClr>
              <a:bgClr>
                <a:srgbClr xmlns:mc="http://schemas.openxmlformats.org/markup-compatibility/2006" xmlns:a14="http://schemas.microsoft.com/office/drawing/2010/main" val="FFFFFF" mc:Ignorable="a14" a14:legacySpreadsheetColorIndex="9"/>
              </a:bgClr>
            </a:pattFill>
            <a:ln w="12589">
              <a:solidFill>
                <a:srgbClr val="000000"/>
              </a:solidFill>
              <a:prstDash val="solid"/>
            </a:ln>
          </c:spPr>
          <c:invertIfNegative val="0"/>
          <c:dLbls>
            <c:dLbl>
              <c:idx val="0"/>
              <c:layout>
                <c:manualLayout>
                  <c:x val="4.5278137128072484E-3"/>
                  <c:y val="-6.3869396928245059E-2"/>
                </c:manualLayout>
              </c:layout>
              <c:tx>
                <c:rich>
                  <a:bodyPr/>
                  <a:lstStyle/>
                  <a:p>
                    <a:pPr>
                      <a:defRPr/>
                    </a:pPr>
                    <a:r>
                      <a:rPr lang="en-US"/>
                      <a:t>c</a:t>
                    </a:r>
                  </a:p>
                </c:rich>
              </c:tx>
              <c:spPr>
                <a:noFill/>
                <a:ln w="25174">
                  <a:noFill/>
                </a:ln>
              </c:spPr>
              <c:dLblPos val="outEnd"/>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3E7-45F6-B499-C6B57A04DF14}"/>
                </c:ext>
              </c:extLst>
            </c:dLbl>
            <c:dLbl>
              <c:idx val="1"/>
              <c:layout>
                <c:manualLayout>
                  <c:x val="6.9277077752085787E-3"/>
                  <c:y val="-8.6935102317762053E-2"/>
                </c:manualLayout>
              </c:layout>
              <c:tx>
                <c:rich>
                  <a:bodyPr/>
                  <a:lstStyle/>
                  <a:p>
                    <a:pPr>
                      <a:defRPr/>
                    </a:pPr>
                    <a:r>
                      <a:rPr lang="en-US"/>
                      <a:t>a</a:t>
                    </a:r>
                  </a:p>
                </c:rich>
              </c:tx>
              <c:spPr>
                <a:noFill/>
                <a:ln w="25174">
                  <a:noFill/>
                </a:ln>
              </c:spPr>
              <c:dLblPos val="outEnd"/>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3E7-45F6-B499-C6B57A04DF14}"/>
                </c:ext>
              </c:extLst>
            </c:dLbl>
            <c:dLbl>
              <c:idx val="2"/>
              <c:layout>
                <c:manualLayout>
                  <c:x val="4.663699055729313E-3"/>
                  <c:y val="-7.4658188907415185E-2"/>
                </c:manualLayout>
              </c:layout>
              <c:tx>
                <c:rich>
                  <a:bodyPr/>
                  <a:lstStyle/>
                  <a:p>
                    <a:pPr>
                      <a:defRPr/>
                    </a:pPr>
                    <a:r>
                      <a:rPr lang="en-US"/>
                      <a:t>a</a:t>
                    </a:r>
                  </a:p>
                </c:rich>
              </c:tx>
              <c:spPr>
                <a:noFill/>
                <a:ln w="25174">
                  <a:noFill/>
                </a:ln>
              </c:spPr>
              <c:dLblPos val="outEnd"/>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3E7-45F6-B499-C6B57A04DF14}"/>
                </c:ext>
              </c:extLst>
            </c:dLbl>
            <c:dLbl>
              <c:idx val="3"/>
              <c:layout>
                <c:manualLayout>
                  <c:x val="3.693555123203387E-3"/>
                  <c:y val="-9.0283202201904569E-2"/>
                </c:manualLayout>
              </c:layout>
              <c:tx>
                <c:rich>
                  <a:bodyPr/>
                  <a:lstStyle/>
                  <a:p>
                    <a:pPr>
                      <a:defRPr/>
                    </a:pPr>
                    <a:r>
                      <a:rPr lang="en-US"/>
                      <a:t>b</a:t>
                    </a:r>
                  </a:p>
                </c:rich>
              </c:tx>
              <c:spPr>
                <a:noFill/>
                <a:ln w="25174">
                  <a:noFill/>
                </a:ln>
              </c:spPr>
              <c:dLblPos val="outEnd"/>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3E7-45F6-B499-C6B57A04DF14}"/>
                </c:ext>
              </c:extLst>
            </c:dLbl>
            <c:spPr>
              <a:noFill/>
              <a:ln w="25174">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plus"/>
            <c:errValType val="cust"/>
            <c:noEndCap val="0"/>
            <c:plus>
              <c:numRef>
                <c:f>'statistics-all replicates'!$P$6:$P$9</c:f>
                <c:numCache>
                  <c:formatCode>General</c:formatCode>
                  <c:ptCount val="4"/>
                  <c:pt idx="0">
                    <c:v>8.526020878174409E-2</c:v>
                  </c:pt>
                  <c:pt idx="1">
                    <c:v>0.13438848036005166</c:v>
                  </c:pt>
                  <c:pt idx="2">
                    <c:v>0.1672166068217712</c:v>
                  </c:pt>
                  <c:pt idx="3">
                    <c:v>0.11222371388689974</c:v>
                  </c:pt>
                </c:numCache>
              </c:numRef>
            </c:plus>
            <c:spPr>
              <a:pattFill prst="ltDnDiag">
                <a:fgClr>
                  <a:srgbClr xmlns:mc="http://schemas.openxmlformats.org/markup-compatibility/2006" xmlns:a14="http://schemas.microsoft.com/office/drawing/2010/main" val="333333" mc:Ignorable="a14" a14:legacySpreadsheetColorIndex="63"/>
                </a:fgClr>
                <a:bgClr>
                  <a:srgbClr xmlns:mc="http://schemas.openxmlformats.org/markup-compatibility/2006" xmlns:a14="http://schemas.microsoft.com/office/drawing/2010/main" val="FFFFFF" mc:Ignorable="a14" a14:legacySpreadsheetColorIndex="9"/>
                </a:bgClr>
              </a:pattFill>
              <a:ln w="12589">
                <a:solidFill>
                  <a:srgbClr val="000000"/>
                </a:solidFill>
                <a:prstDash val="solid"/>
              </a:ln>
            </c:spPr>
          </c:errBars>
          <c:cat>
            <c:strRef>
              <c:f>'statistics-all replicates'!$K$6:$K$9</c:f>
              <c:strCache>
                <c:ptCount val="4"/>
                <c:pt idx="0">
                  <c:v>control</c:v>
                </c:pt>
                <c:pt idx="1">
                  <c:v>E2-6ОН</c:v>
                </c:pt>
                <c:pt idx="2">
                  <c:v>Z3-6ОН</c:v>
                </c:pt>
                <c:pt idx="3">
                  <c:v>linalool</c:v>
                </c:pt>
              </c:strCache>
            </c:strRef>
          </c:cat>
          <c:val>
            <c:numRef>
              <c:f>'statistics-all replicates'!$L$6:$L$9</c:f>
              <c:numCache>
                <c:formatCode>#,000</c:formatCode>
                <c:ptCount val="4"/>
                <c:pt idx="0">
                  <c:v>0.26666666666666672</c:v>
                </c:pt>
                <c:pt idx="1">
                  <c:v>1.0333333333333334</c:v>
                </c:pt>
                <c:pt idx="2">
                  <c:v>1.1833333333333333</c:v>
                </c:pt>
                <c:pt idx="3">
                  <c:v>0.58333333333333304</c:v>
                </c:pt>
              </c:numCache>
            </c:numRef>
          </c:val>
          <c:extLst>
            <c:ext xmlns:c16="http://schemas.microsoft.com/office/drawing/2014/chart" uri="{C3380CC4-5D6E-409C-BE32-E72D297353CC}">
              <c16:uniqueId val="{00000004-63E7-45F6-B499-C6B57A04DF14}"/>
            </c:ext>
          </c:extLst>
        </c:ser>
        <c:dLbls>
          <c:showLegendKey val="0"/>
          <c:showVal val="0"/>
          <c:showCatName val="0"/>
          <c:showSerName val="0"/>
          <c:showPercent val="0"/>
          <c:showBubbleSize val="0"/>
        </c:dLbls>
        <c:gapWidth val="150"/>
        <c:axId val="40147968"/>
        <c:axId val="40154240"/>
      </c:barChart>
      <c:catAx>
        <c:axId val="40147968"/>
        <c:scaling>
          <c:orientation val="minMax"/>
        </c:scaling>
        <c:delete val="0"/>
        <c:axPos val="b"/>
        <c:title>
          <c:tx>
            <c:rich>
              <a:bodyPr/>
              <a:lstStyle/>
              <a:p>
                <a:pPr>
                  <a:defRPr sz="1173" b="1" i="0" u="none" strike="noStrike" baseline="0">
                    <a:solidFill>
                      <a:srgbClr val="000000"/>
                    </a:solidFill>
                    <a:latin typeface="Times New Roman"/>
                    <a:ea typeface="Times New Roman"/>
                    <a:cs typeface="Times New Roman"/>
                  </a:defRPr>
                </a:pPr>
                <a:r>
                  <a:rPr lang="en-US"/>
                  <a:t>Lure</a:t>
                </a:r>
              </a:p>
            </c:rich>
          </c:tx>
          <c:layout>
            <c:manualLayout>
              <c:xMode val="edge"/>
              <c:yMode val="edge"/>
              <c:x val="0.50446194225721785"/>
              <c:y val="0.87723659542557175"/>
            </c:manualLayout>
          </c:layout>
          <c:overlay val="0"/>
          <c:spPr>
            <a:noFill/>
            <a:ln w="25174">
              <a:noFill/>
            </a:ln>
          </c:spPr>
        </c:title>
        <c:numFmt formatCode="General" sourceLinked="1"/>
        <c:majorTickMark val="out"/>
        <c:minorTickMark val="none"/>
        <c:tickLblPos val="nextTo"/>
        <c:spPr>
          <a:ln w="3148">
            <a:solidFill>
              <a:srgbClr val="000000"/>
            </a:solidFill>
            <a:prstDash val="solid"/>
          </a:ln>
        </c:spPr>
        <c:txPr>
          <a:bodyPr rot="0" vert="horz"/>
          <a:lstStyle/>
          <a:p>
            <a:pPr>
              <a:defRPr/>
            </a:pPr>
            <a:endParaRPr lang="en-US"/>
          </a:p>
        </c:txPr>
        <c:crossAx val="40154240"/>
        <c:crosses val="autoZero"/>
        <c:auto val="1"/>
        <c:lblAlgn val="ctr"/>
        <c:lblOffset val="100"/>
        <c:tickLblSkip val="1"/>
        <c:tickMarkSkip val="1"/>
        <c:noMultiLvlLbl val="0"/>
      </c:catAx>
      <c:valAx>
        <c:axId val="40154240"/>
        <c:scaling>
          <c:orientation val="minMax"/>
        </c:scaling>
        <c:delete val="0"/>
        <c:axPos val="l"/>
        <c:title>
          <c:tx>
            <c:rich>
              <a:bodyPr/>
              <a:lstStyle/>
              <a:p>
                <a:pPr>
                  <a:defRPr sz="996" b="0" i="0" u="none" strike="noStrike" baseline="0">
                    <a:solidFill>
                      <a:srgbClr val="000000"/>
                    </a:solidFill>
                    <a:latin typeface="Arial"/>
                    <a:ea typeface="Arial"/>
                    <a:cs typeface="Arial"/>
                  </a:defRPr>
                </a:pPr>
                <a:r>
                  <a:rPr lang="en-US" sz="1173" b="1" i="0" u="none" strike="noStrike" baseline="0">
                    <a:solidFill>
                      <a:srgbClr val="000000"/>
                    </a:solidFill>
                    <a:latin typeface="Times New Roman"/>
                    <a:cs typeface="Times New Roman"/>
                  </a:rPr>
                  <a:t>Mean number of weevils/trap/inspection</a:t>
                </a:r>
              </a:p>
              <a:p>
                <a:pPr>
                  <a:defRPr sz="996" b="0" i="0" u="none" strike="noStrike" baseline="0">
                    <a:solidFill>
                      <a:srgbClr val="000000"/>
                    </a:solidFill>
                    <a:latin typeface="Arial"/>
                    <a:ea typeface="Arial"/>
                    <a:cs typeface="Arial"/>
                  </a:defRPr>
                </a:pPr>
                <a:r>
                  <a:rPr lang="en-US" sz="1173" b="1" i="0" u="none" strike="noStrike" baseline="0">
                    <a:solidFill>
                      <a:srgbClr val="000000"/>
                    </a:solidFill>
                    <a:latin typeface="Times New Roman"/>
                    <a:cs typeface="Times New Roman"/>
                  </a:rPr>
                  <a:t>(</a:t>
                </a:r>
                <a:r>
                  <a:rPr lang="en-US" sz="1173" b="0" i="0" u="none" strike="noStrike" baseline="0">
                    <a:solidFill>
                      <a:srgbClr val="000000"/>
                    </a:solidFill>
                    <a:latin typeface="Arial"/>
                    <a:cs typeface="Arial"/>
                  </a:rPr>
                  <a:t>±</a:t>
                </a:r>
                <a:r>
                  <a:rPr lang="en-US" sz="1173" b="0" i="0" u="none" strike="noStrike" baseline="0">
                    <a:solidFill>
                      <a:srgbClr val="000000"/>
                    </a:solidFill>
                    <a:latin typeface="Times New Roman"/>
                    <a:cs typeface="Times New Roman"/>
                  </a:rPr>
                  <a:t> </a:t>
                </a:r>
                <a:r>
                  <a:rPr lang="en-US" sz="1173" b="1" i="0" u="none" strike="noStrike" baseline="0">
                    <a:solidFill>
                      <a:srgbClr val="000000"/>
                    </a:solidFill>
                    <a:latin typeface="Times New Roman"/>
                    <a:cs typeface="Times New Roman"/>
                  </a:rPr>
                  <a:t>SE)</a:t>
                </a:r>
              </a:p>
            </c:rich>
          </c:tx>
          <c:layout>
            <c:manualLayout>
              <c:xMode val="edge"/>
              <c:yMode val="edge"/>
              <c:x val="1.0349363700055422E-2"/>
              <c:y val="0.10267883181269009"/>
            </c:manualLayout>
          </c:layout>
          <c:overlay val="0"/>
          <c:spPr>
            <a:noFill/>
            <a:ln w="25174">
              <a:noFill/>
            </a:ln>
          </c:spPr>
        </c:title>
        <c:numFmt formatCode="#,##0.00" sourceLinked="0"/>
        <c:majorTickMark val="out"/>
        <c:minorTickMark val="none"/>
        <c:tickLblPos val="nextTo"/>
        <c:spPr>
          <a:ln w="3148">
            <a:solidFill>
              <a:srgbClr val="000000"/>
            </a:solidFill>
            <a:prstDash val="solid"/>
          </a:ln>
        </c:spPr>
        <c:txPr>
          <a:bodyPr rot="0" vert="horz"/>
          <a:lstStyle/>
          <a:p>
            <a:pPr>
              <a:defRPr/>
            </a:pPr>
            <a:endParaRPr lang="en-US"/>
          </a:p>
        </c:txPr>
        <c:crossAx val="40147968"/>
        <c:crosses val="autoZero"/>
        <c:crossBetween val="between"/>
      </c:valAx>
      <c:spPr>
        <a:noFill/>
        <a:ln w="3148">
          <a:solidFill>
            <a:srgbClr val="000000"/>
          </a:solidFill>
          <a:prstDash val="solid"/>
        </a:ln>
      </c:spPr>
    </c:plotArea>
    <c:plotVisOnly val="1"/>
    <c:dispBlanksAs val="gap"/>
    <c:showDLblsOverMax val="0"/>
  </c:chart>
  <c:spPr>
    <a:solidFill>
      <a:srgbClr val="FFFFFF"/>
    </a:solidFill>
    <a:ln w="3148">
      <a:solidFill>
        <a:srgbClr val="000000"/>
      </a:solidFill>
      <a:prstDash val="solid"/>
    </a:ln>
  </c:spPr>
  <c:txPr>
    <a:bodyPr/>
    <a:lstStyle/>
    <a:p>
      <a:pPr>
        <a:defRPr sz="1189" b="0" i="0" u="none" strike="noStrike" baseline="0">
          <a:solidFill>
            <a:srgbClr val="000000"/>
          </a:solidFill>
          <a:latin typeface="Times New Roman" pitchFamily="18" charset="0"/>
          <a:ea typeface="All Times New Roman"/>
          <a:cs typeface="Times New Roman" pitchFamily="18" charset="0"/>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7245388597258676"/>
          <c:y val="2.6535947712418302E-2"/>
          <c:w val="0.80324219889180515"/>
          <c:h val="0.66754636062649031"/>
        </c:manualLayout>
      </c:layout>
      <c:barChart>
        <c:barDir val="col"/>
        <c:grouping val="clustered"/>
        <c:varyColors val="0"/>
        <c:ser>
          <c:idx val="0"/>
          <c:order val="0"/>
          <c:spPr>
            <a:pattFill prst="ltUpDiag">
              <a:fgClr>
                <a:srgbClr val="000000"/>
              </a:fgClr>
              <a:bgClr>
                <a:srgbClr val="FFFFFF"/>
              </a:bgClr>
            </a:pattFill>
            <a:ln w="12643">
              <a:solidFill>
                <a:srgbClr val="000000"/>
              </a:solidFill>
              <a:prstDash val="solid"/>
            </a:ln>
          </c:spPr>
          <c:invertIfNegative val="0"/>
          <c:dLbls>
            <c:dLbl>
              <c:idx val="0"/>
              <c:layout>
                <c:manualLayout>
                  <c:x val="0"/>
                  <c:y val="-5.664488017429202E-2"/>
                </c:manualLayout>
              </c:layout>
              <c:tx>
                <c:rich>
                  <a:bodyPr/>
                  <a:lstStyle/>
                  <a:p>
                    <a:pPr>
                      <a:defRPr/>
                    </a:pPr>
                    <a:r>
                      <a:rPr lang="en-US"/>
                      <a:t>b</a:t>
                    </a:r>
                  </a:p>
                </c:rich>
              </c:tx>
              <c:spPr/>
              <c:dLblPos val="outEnd"/>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63F-42D0-B7E7-63EABA85B8AA}"/>
                </c:ext>
              </c:extLst>
            </c:dLbl>
            <c:dLbl>
              <c:idx val="1"/>
              <c:layout>
                <c:manualLayout>
                  <c:x val="0"/>
                  <c:y val="-8.2788671023965116E-2"/>
                </c:manualLayout>
              </c:layout>
              <c:tx>
                <c:rich>
                  <a:bodyPr/>
                  <a:lstStyle/>
                  <a:p>
                    <a:pPr>
                      <a:defRPr/>
                    </a:pPr>
                    <a:r>
                      <a:rPr lang="bg-BG"/>
                      <a:t>а</a:t>
                    </a:r>
                  </a:p>
                </c:rich>
              </c:tx>
              <c:spPr/>
              <c:dLblPos val="outEnd"/>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63F-42D0-B7E7-63EABA85B8AA}"/>
                </c:ext>
              </c:extLst>
            </c:dLbl>
            <c:dLbl>
              <c:idx val="2"/>
              <c:layout>
                <c:manualLayout>
                  <c:x val="0"/>
                  <c:y val="-8.7145969498910653E-2"/>
                </c:manualLayout>
              </c:layout>
              <c:tx>
                <c:rich>
                  <a:bodyPr/>
                  <a:lstStyle/>
                  <a:p>
                    <a:pPr>
                      <a:defRPr/>
                    </a:pPr>
                    <a:r>
                      <a:rPr lang="bg-BG"/>
                      <a:t>а</a:t>
                    </a:r>
                  </a:p>
                </c:rich>
              </c:tx>
              <c:spPr/>
              <c:dLblPos val="outEnd"/>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63F-42D0-B7E7-63EABA85B8AA}"/>
                </c:ext>
              </c:extLst>
            </c:dLbl>
            <c:dLbl>
              <c:idx val="3"/>
              <c:layout>
                <c:manualLayout>
                  <c:x val="0"/>
                  <c:y val="-5.6644880174291937E-2"/>
                </c:manualLayout>
              </c:layout>
              <c:tx>
                <c:rich>
                  <a:bodyPr/>
                  <a:lstStyle/>
                  <a:p>
                    <a:pPr>
                      <a:defRPr/>
                    </a:pPr>
                    <a:r>
                      <a:rPr lang="en-US"/>
                      <a:t>b</a:t>
                    </a:r>
                  </a:p>
                </c:rich>
              </c:tx>
              <c:spPr/>
              <c:dLblPos val="outEnd"/>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63F-42D0-B7E7-63EABA85B8AA}"/>
                </c:ext>
              </c:extLst>
            </c:dLbl>
            <c:dLbl>
              <c:idx val="4"/>
              <c:layout>
                <c:manualLayout>
                  <c:x val="0"/>
                  <c:y val="-8.2788671023965144E-2"/>
                </c:manualLayout>
              </c:layout>
              <c:tx>
                <c:rich>
                  <a:bodyPr/>
                  <a:lstStyle/>
                  <a:p>
                    <a:pPr>
                      <a:defRPr/>
                    </a:pPr>
                    <a:r>
                      <a:rPr lang="en-US"/>
                      <a:t>b</a:t>
                    </a:r>
                  </a:p>
                </c:rich>
              </c:tx>
              <c:spPr/>
              <c:dLblPos val="outEnd"/>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63F-42D0-B7E7-63EABA85B8AA}"/>
                </c:ext>
              </c:extLst>
            </c:dLbl>
            <c:spPr>
              <a:noFill/>
              <a:ln w="25265">
                <a:noFill/>
              </a:ln>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plus"/>
            <c:errValType val="cust"/>
            <c:noEndCap val="0"/>
            <c:plus>
              <c:numRef>
                <c:f>'bez 9Al i mix'!$J$6:$J$10</c:f>
                <c:numCache>
                  <c:formatCode>General</c:formatCode>
                  <c:ptCount val="5"/>
                  <c:pt idx="0">
                    <c:v>9.7450891034114334E-2</c:v>
                  </c:pt>
                  <c:pt idx="1">
                    <c:v>0.23693017534235661</c:v>
                  </c:pt>
                  <c:pt idx="2">
                    <c:v>0.22458384245032886</c:v>
                  </c:pt>
                  <c:pt idx="3">
                    <c:v>0.12240769834154322</c:v>
                  </c:pt>
                  <c:pt idx="4">
                    <c:v>0.11712139482105109</c:v>
                  </c:pt>
                </c:numCache>
              </c:numRef>
            </c:plus>
            <c:spPr>
              <a:pattFill prst="ltUpDiag">
                <a:fgClr>
                  <a:srgbClr val="000000"/>
                </a:fgClr>
                <a:bgClr>
                  <a:srgbClr val="FFFFFF"/>
                </a:bgClr>
              </a:pattFill>
              <a:ln w="12643">
                <a:solidFill>
                  <a:srgbClr val="000000"/>
                </a:solidFill>
                <a:prstDash val="solid"/>
              </a:ln>
            </c:spPr>
          </c:errBars>
          <c:cat>
            <c:strRef>
              <c:f>'bez 9Al i mix'!$F$6:$F$10</c:f>
              <c:strCache>
                <c:ptCount val="5"/>
                <c:pt idx="0">
                  <c:v>control</c:v>
                </c:pt>
                <c:pt idx="1">
                  <c:v>Е2-6ОH</c:v>
                </c:pt>
                <c:pt idx="2">
                  <c:v>Z3-6OH</c:v>
                </c:pt>
                <c:pt idx="3">
                  <c:v>linalool</c:v>
                </c:pt>
                <c:pt idx="4">
                  <c:v>caryophyllene</c:v>
                </c:pt>
              </c:strCache>
            </c:strRef>
          </c:cat>
          <c:val>
            <c:numRef>
              <c:f>'bez 9Al i mix'!$H$6:$H$10</c:f>
              <c:numCache>
                <c:formatCode>General</c:formatCode>
                <c:ptCount val="5"/>
                <c:pt idx="0">
                  <c:v>0.22222222222222221</c:v>
                </c:pt>
                <c:pt idx="1">
                  <c:v>1.1481481481481481</c:v>
                </c:pt>
                <c:pt idx="2">
                  <c:v>1.1481481481481481</c:v>
                </c:pt>
                <c:pt idx="3">
                  <c:v>0.40740740740740738</c:v>
                </c:pt>
                <c:pt idx="4">
                  <c:v>0.29629629629629628</c:v>
                </c:pt>
              </c:numCache>
            </c:numRef>
          </c:val>
          <c:extLst>
            <c:ext xmlns:c16="http://schemas.microsoft.com/office/drawing/2014/chart" uri="{C3380CC4-5D6E-409C-BE32-E72D297353CC}">
              <c16:uniqueId val="{00000005-963F-42D0-B7E7-63EABA85B8AA}"/>
            </c:ext>
          </c:extLst>
        </c:ser>
        <c:dLbls>
          <c:showLegendKey val="0"/>
          <c:showVal val="0"/>
          <c:showCatName val="0"/>
          <c:showSerName val="0"/>
          <c:showPercent val="0"/>
          <c:showBubbleSize val="0"/>
        </c:dLbls>
        <c:gapWidth val="150"/>
        <c:axId val="40523648"/>
        <c:axId val="40525824"/>
      </c:barChart>
      <c:catAx>
        <c:axId val="40523648"/>
        <c:scaling>
          <c:orientation val="minMax"/>
        </c:scaling>
        <c:delete val="0"/>
        <c:axPos val="b"/>
        <c:title>
          <c:tx>
            <c:rich>
              <a:bodyPr/>
              <a:lstStyle/>
              <a:p>
                <a:pPr>
                  <a:defRPr sz="1069" b="1" i="0" u="none" strike="noStrike" baseline="0">
                    <a:solidFill>
                      <a:srgbClr val="000000"/>
                    </a:solidFill>
                    <a:latin typeface="Times New Roman"/>
                    <a:ea typeface="Times New Roman"/>
                    <a:cs typeface="Times New Roman"/>
                  </a:defRPr>
                </a:pPr>
                <a:r>
                  <a:rPr lang="en-US"/>
                  <a:t>Lure</a:t>
                </a:r>
              </a:p>
            </c:rich>
          </c:tx>
          <c:layout>
            <c:manualLayout>
              <c:xMode val="edge"/>
              <c:yMode val="edge"/>
              <c:x val="0.53298719030947139"/>
              <c:y val="0.9105706231165549"/>
            </c:manualLayout>
          </c:layout>
          <c:overlay val="0"/>
          <c:spPr>
            <a:noFill/>
            <a:ln w="25279">
              <a:noFill/>
            </a:ln>
          </c:spPr>
        </c:title>
        <c:numFmt formatCode="General" sourceLinked="1"/>
        <c:majorTickMark val="out"/>
        <c:minorTickMark val="none"/>
        <c:tickLblPos val="nextTo"/>
        <c:spPr>
          <a:ln w="3163">
            <a:solidFill>
              <a:srgbClr val="000000"/>
            </a:solidFill>
            <a:prstDash val="solid"/>
          </a:ln>
        </c:spPr>
        <c:txPr>
          <a:bodyPr rot="-2700000" vert="horz"/>
          <a:lstStyle/>
          <a:p>
            <a:pPr>
              <a:defRPr/>
            </a:pPr>
            <a:endParaRPr lang="en-US"/>
          </a:p>
        </c:txPr>
        <c:crossAx val="40525824"/>
        <c:crosses val="autoZero"/>
        <c:auto val="1"/>
        <c:lblAlgn val="ctr"/>
        <c:lblOffset val="100"/>
        <c:tickLblSkip val="1"/>
        <c:tickMarkSkip val="1"/>
        <c:noMultiLvlLbl val="0"/>
      </c:catAx>
      <c:valAx>
        <c:axId val="40525824"/>
        <c:scaling>
          <c:orientation val="minMax"/>
          <c:max val="2"/>
        </c:scaling>
        <c:delete val="0"/>
        <c:axPos val="l"/>
        <c:title>
          <c:tx>
            <c:rich>
              <a:bodyPr/>
              <a:lstStyle/>
              <a:p>
                <a:pPr>
                  <a:defRPr sz="999" b="0" i="0" u="none" strike="noStrike" baseline="0">
                    <a:solidFill>
                      <a:srgbClr val="000000"/>
                    </a:solidFill>
                    <a:latin typeface="Arial"/>
                    <a:ea typeface="Arial"/>
                    <a:cs typeface="Arial"/>
                  </a:defRPr>
                </a:pPr>
                <a:r>
                  <a:rPr lang="en-US" sz="1069" b="1" i="0" u="none" strike="noStrike" baseline="0">
                    <a:solidFill>
                      <a:srgbClr val="000000"/>
                    </a:solidFill>
                    <a:latin typeface="Times New Roman"/>
                    <a:cs typeface="Times New Roman"/>
                  </a:rPr>
                  <a:t>Mean number of beetels/trap/inspection (</a:t>
                </a:r>
                <a:r>
                  <a:rPr lang="en-US" sz="1069" b="1" i="0" u="none" strike="noStrike" baseline="0">
                    <a:solidFill>
                      <a:srgbClr val="000000"/>
                    </a:solidFill>
                    <a:latin typeface="Arial"/>
                    <a:cs typeface="Arial"/>
                  </a:rPr>
                  <a:t>±</a:t>
                </a:r>
                <a:r>
                  <a:rPr lang="en-US" sz="1069" b="1" i="0" u="none" strike="noStrike" baseline="0">
                    <a:solidFill>
                      <a:srgbClr val="000000"/>
                    </a:solidFill>
                    <a:latin typeface="Times New Roman"/>
                    <a:cs typeface="Times New Roman"/>
                  </a:rPr>
                  <a:t> SE)</a:t>
                </a:r>
              </a:p>
            </c:rich>
          </c:tx>
          <c:layout>
            <c:manualLayout>
              <c:xMode val="edge"/>
              <c:yMode val="edge"/>
              <c:x val="1.2152830632550545E-2"/>
              <c:y val="5.8066580061330718E-2"/>
            </c:manualLayout>
          </c:layout>
          <c:overlay val="0"/>
          <c:spPr>
            <a:noFill/>
            <a:ln w="25279">
              <a:noFill/>
            </a:ln>
          </c:spPr>
        </c:title>
        <c:numFmt formatCode="General" sourceLinked="0"/>
        <c:majorTickMark val="out"/>
        <c:minorTickMark val="none"/>
        <c:tickLblPos val="nextTo"/>
        <c:spPr>
          <a:ln w="3163">
            <a:solidFill>
              <a:srgbClr val="000000"/>
            </a:solidFill>
            <a:prstDash val="solid"/>
          </a:ln>
        </c:spPr>
        <c:txPr>
          <a:bodyPr rot="0" vert="horz"/>
          <a:lstStyle/>
          <a:p>
            <a:pPr>
              <a:defRPr/>
            </a:pPr>
            <a:endParaRPr lang="en-US"/>
          </a:p>
        </c:txPr>
        <c:crossAx val="40523648"/>
        <c:crosses val="autoZero"/>
        <c:crossBetween val="between"/>
        <c:majorUnit val="0.4"/>
      </c:valAx>
      <c:spPr>
        <a:noFill/>
        <a:ln w="12643">
          <a:solidFill>
            <a:srgbClr val="808080"/>
          </a:solidFill>
          <a:prstDash val="solid"/>
        </a:ln>
      </c:spPr>
    </c:plotArea>
    <c:plotVisOnly val="1"/>
    <c:dispBlanksAs val="gap"/>
    <c:showDLblsOverMax val="0"/>
  </c:chart>
  <c:spPr>
    <a:noFill/>
    <a:ln w="3163">
      <a:solidFill>
        <a:srgbClr val="000000"/>
      </a:solidFill>
      <a:prstDash val="solid"/>
    </a:ln>
  </c:spPr>
  <c:txPr>
    <a:bodyPr/>
    <a:lstStyle/>
    <a:p>
      <a:pPr>
        <a:defRPr sz="1094" b="0"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180647938952037"/>
          <c:y val="3.1365704286964127E-2"/>
          <c:w val="0.79033251312335961"/>
          <c:h val="0.74954680664916884"/>
        </c:manualLayout>
      </c:layout>
      <c:barChart>
        <c:barDir val="col"/>
        <c:grouping val="clustered"/>
        <c:varyColors val="0"/>
        <c:ser>
          <c:idx val="0"/>
          <c:order val="0"/>
          <c:spPr>
            <a:solidFill>
              <a:schemeClr val="bg1">
                <a:lumMod val="85000"/>
              </a:schemeClr>
            </a:solidFill>
            <a:ln>
              <a:solidFill>
                <a:srgbClr val="000000"/>
              </a:solidFill>
            </a:ln>
          </c:spPr>
          <c:invertIfNegative val="0"/>
          <c:errBars>
            <c:errBarType val="plus"/>
            <c:errValType val="cust"/>
            <c:noEndCap val="0"/>
            <c:plus>
              <c:numRef>
                <c:f>Sheet1!$B$11:$AG$11</c:f>
                <c:numCache>
                  <c:formatCode>General</c:formatCode>
                  <c:ptCount val="32"/>
                  <c:pt idx="1">
                    <c:v>0</c:v>
                  </c:pt>
                  <c:pt idx="2">
                    <c:v>0.47871355387816905</c:v>
                  </c:pt>
                  <c:pt idx="3">
                    <c:v>0</c:v>
                  </c:pt>
                  <c:pt idx="4">
                    <c:v>1.4361406616345072</c:v>
                  </c:pt>
                  <c:pt idx="5">
                    <c:v>0.75</c:v>
                  </c:pt>
                  <c:pt idx="6">
                    <c:v>3.5707142142714252</c:v>
                  </c:pt>
                  <c:pt idx="7">
                    <c:v>0.75</c:v>
                  </c:pt>
                  <c:pt idx="8">
                    <c:v>0.25</c:v>
                  </c:pt>
                  <c:pt idx="9">
                    <c:v>1.4361406616345072</c:v>
                  </c:pt>
                  <c:pt idx="10">
                    <c:v>1.5478479684172259</c:v>
                  </c:pt>
                  <c:pt idx="11">
                    <c:v>2.857738033247041</c:v>
                  </c:pt>
                  <c:pt idx="12">
                    <c:v>2.2867371223353739</c:v>
                  </c:pt>
                  <c:pt idx="13">
                    <c:v>1.5811388300841898</c:v>
                  </c:pt>
                  <c:pt idx="14">
                    <c:v>0.70710678118654757</c:v>
                  </c:pt>
                  <c:pt idx="15">
                    <c:v>1.5478479684172259</c:v>
                  </c:pt>
                  <c:pt idx="16">
                    <c:v>0.8660254037844386</c:v>
                  </c:pt>
                  <c:pt idx="17">
                    <c:v>1.181453906563152</c:v>
                  </c:pt>
                  <c:pt idx="18">
                    <c:v>0.25</c:v>
                  </c:pt>
                  <c:pt idx="19">
                    <c:v>0.6454972243679028</c:v>
                  </c:pt>
                  <c:pt idx="20">
                    <c:v>1.0307764064044151</c:v>
                  </c:pt>
                  <c:pt idx="21">
                    <c:v>1.1902380714238083</c:v>
                  </c:pt>
                  <c:pt idx="22">
                    <c:v>0.5</c:v>
                  </c:pt>
                  <c:pt idx="23">
                    <c:v>0.8539125638299665</c:v>
                  </c:pt>
                  <c:pt idx="24">
                    <c:v>0.25</c:v>
                  </c:pt>
                  <c:pt idx="25">
                    <c:v>0.28867513459481287</c:v>
                  </c:pt>
                  <c:pt idx="26">
                    <c:v>0.25</c:v>
                  </c:pt>
                  <c:pt idx="27">
                    <c:v>0.25</c:v>
                  </c:pt>
                  <c:pt idx="28">
                    <c:v>0</c:v>
                  </c:pt>
                  <c:pt idx="29">
                    <c:v>0.47871355387816905</c:v>
                  </c:pt>
                  <c:pt idx="30">
                    <c:v>0.28867513459481287</c:v>
                  </c:pt>
                  <c:pt idx="31">
                    <c:v>0</c:v>
                  </c:pt>
                </c:numCache>
              </c:numRef>
            </c:plus>
            <c:minus>
              <c:numRef>
                <c:f>Sheet1!$M$14</c:f>
                <c:numCache>
                  <c:formatCode>General</c:formatCode>
                  <c:ptCount val="1"/>
                  <c:pt idx="0">
                    <c:v>18.2</c:v>
                  </c:pt>
                </c:numCache>
              </c:numRef>
            </c:minus>
          </c:errBars>
          <c:cat>
            <c:strRef>
              <c:f>Sheet1!$B$3:$AH$3</c:f>
              <c:strCache>
                <c:ptCount val="33"/>
                <c:pt idx="0">
                  <c:v>01.04.</c:v>
                </c:pt>
                <c:pt idx="1">
                  <c:v>03.04.</c:v>
                </c:pt>
                <c:pt idx="2">
                  <c:v>07.04.</c:v>
                </c:pt>
                <c:pt idx="3">
                  <c:v>11.04.</c:v>
                </c:pt>
                <c:pt idx="4">
                  <c:v>18.04.</c:v>
                </c:pt>
                <c:pt idx="5">
                  <c:v>20.04.</c:v>
                </c:pt>
                <c:pt idx="6">
                  <c:v>25.04.</c:v>
                </c:pt>
                <c:pt idx="7">
                  <c:v>28.04.</c:v>
                </c:pt>
                <c:pt idx="8">
                  <c:v>04.05.</c:v>
                </c:pt>
                <c:pt idx="9">
                  <c:v>09.05.</c:v>
                </c:pt>
                <c:pt idx="10">
                  <c:v>13.05.</c:v>
                </c:pt>
                <c:pt idx="11">
                  <c:v>16.05.</c:v>
                </c:pt>
                <c:pt idx="12">
                  <c:v>19.05.</c:v>
                </c:pt>
                <c:pt idx="13">
                  <c:v>25.05.</c:v>
                </c:pt>
                <c:pt idx="14">
                  <c:v>28.05.</c:v>
                </c:pt>
                <c:pt idx="15">
                  <c:v>01.06.</c:v>
                </c:pt>
                <c:pt idx="16">
                  <c:v>03.06.</c:v>
                </c:pt>
                <c:pt idx="17">
                  <c:v>06.06.</c:v>
                </c:pt>
                <c:pt idx="18">
                  <c:v>08.06.</c:v>
                </c:pt>
                <c:pt idx="19">
                  <c:v>10.06.</c:v>
                </c:pt>
                <c:pt idx="20">
                  <c:v>13.06.</c:v>
                </c:pt>
                <c:pt idx="21">
                  <c:v>15.06.</c:v>
                </c:pt>
                <c:pt idx="22">
                  <c:v>17.06.</c:v>
                </c:pt>
                <c:pt idx="23">
                  <c:v>20.06.</c:v>
                </c:pt>
                <c:pt idx="24">
                  <c:v>22.06.</c:v>
                </c:pt>
                <c:pt idx="25">
                  <c:v>24.06.</c:v>
                </c:pt>
                <c:pt idx="26">
                  <c:v>27.06.</c:v>
                </c:pt>
                <c:pt idx="27">
                  <c:v>29.06.</c:v>
                </c:pt>
                <c:pt idx="28">
                  <c:v>03.07.</c:v>
                </c:pt>
                <c:pt idx="29">
                  <c:v>06.07.</c:v>
                </c:pt>
                <c:pt idx="30">
                  <c:v>08.07.</c:v>
                </c:pt>
                <c:pt idx="31">
                  <c:v>11.07.</c:v>
                </c:pt>
                <c:pt idx="32">
                  <c:v>16.07.</c:v>
                </c:pt>
              </c:strCache>
            </c:strRef>
          </c:cat>
          <c:val>
            <c:numRef>
              <c:f>Sheet1!$B$9:$AH$9</c:f>
              <c:numCache>
                <c:formatCode>0.00</c:formatCode>
                <c:ptCount val="33"/>
                <c:pt idx="1">
                  <c:v>0</c:v>
                </c:pt>
                <c:pt idx="2">
                  <c:v>0.75</c:v>
                </c:pt>
                <c:pt idx="3">
                  <c:v>0</c:v>
                </c:pt>
                <c:pt idx="4">
                  <c:v>3.75</c:v>
                </c:pt>
                <c:pt idx="5">
                  <c:v>1.75</c:v>
                </c:pt>
                <c:pt idx="6">
                  <c:v>28.5</c:v>
                </c:pt>
                <c:pt idx="7">
                  <c:v>1.75</c:v>
                </c:pt>
                <c:pt idx="8">
                  <c:v>1.25</c:v>
                </c:pt>
                <c:pt idx="9">
                  <c:v>2.75</c:v>
                </c:pt>
                <c:pt idx="10">
                  <c:v>5.25</c:v>
                </c:pt>
                <c:pt idx="11">
                  <c:v>7</c:v>
                </c:pt>
                <c:pt idx="12">
                  <c:v>6.75</c:v>
                </c:pt>
                <c:pt idx="13">
                  <c:v>7</c:v>
                </c:pt>
                <c:pt idx="14">
                  <c:v>4</c:v>
                </c:pt>
                <c:pt idx="15">
                  <c:v>11.75</c:v>
                </c:pt>
                <c:pt idx="16">
                  <c:v>1.5</c:v>
                </c:pt>
                <c:pt idx="17">
                  <c:v>3.75</c:v>
                </c:pt>
                <c:pt idx="18">
                  <c:v>4.25</c:v>
                </c:pt>
                <c:pt idx="19">
                  <c:v>2.5</c:v>
                </c:pt>
                <c:pt idx="20">
                  <c:v>3.25</c:v>
                </c:pt>
                <c:pt idx="21">
                  <c:v>2.5</c:v>
                </c:pt>
                <c:pt idx="22">
                  <c:v>1.5</c:v>
                </c:pt>
                <c:pt idx="23">
                  <c:v>2.75</c:v>
                </c:pt>
                <c:pt idx="24">
                  <c:v>0.25</c:v>
                </c:pt>
                <c:pt idx="25">
                  <c:v>0.5</c:v>
                </c:pt>
                <c:pt idx="26">
                  <c:v>0.25</c:v>
                </c:pt>
                <c:pt idx="27">
                  <c:v>0.25</c:v>
                </c:pt>
                <c:pt idx="28">
                  <c:v>0</c:v>
                </c:pt>
                <c:pt idx="29">
                  <c:v>1.25</c:v>
                </c:pt>
                <c:pt idx="30">
                  <c:v>0.5</c:v>
                </c:pt>
                <c:pt idx="31">
                  <c:v>0</c:v>
                </c:pt>
                <c:pt idx="32">
                  <c:v>0</c:v>
                </c:pt>
              </c:numCache>
            </c:numRef>
          </c:val>
          <c:extLst>
            <c:ext xmlns:c16="http://schemas.microsoft.com/office/drawing/2014/chart" uri="{C3380CC4-5D6E-409C-BE32-E72D297353CC}">
              <c16:uniqueId val="{00000000-DF8D-4262-BE4F-3CFFCB98DCD7}"/>
            </c:ext>
          </c:extLst>
        </c:ser>
        <c:dLbls>
          <c:showLegendKey val="0"/>
          <c:showVal val="0"/>
          <c:showCatName val="0"/>
          <c:showSerName val="0"/>
          <c:showPercent val="0"/>
          <c:showBubbleSize val="0"/>
        </c:dLbls>
        <c:gapWidth val="150"/>
        <c:axId val="40708736"/>
        <c:axId val="40711296"/>
      </c:barChart>
      <c:lineChart>
        <c:grouping val="standard"/>
        <c:varyColors val="0"/>
        <c:ser>
          <c:idx val="1"/>
          <c:order val="1"/>
          <c:tx>
            <c:v>Т mean</c:v>
          </c:tx>
          <c:spPr>
            <a:ln w="3175">
              <a:solidFill>
                <a:srgbClr val="000000"/>
              </a:solidFill>
            </a:ln>
          </c:spPr>
          <c:marker>
            <c:symbol val="square"/>
            <c:size val="3"/>
            <c:spPr>
              <a:solidFill>
                <a:srgbClr val="000000"/>
              </a:solidFill>
              <a:ln>
                <a:solidFill>
                  <a:srgbClr val="000000"/>
                </a:solidFill>
              </a:ln>
            </c:spPr>
          </c:marker>
          <c:cat>
            <c:strRef>
              <c:f>Sheet1!$B$3:$AH$3</c:f>
              <c:strCache>
                <c:ptCount val="33"/>
                <c:pt idx="0">
                  <c:v>01.04.</c:v>
                </c:pt>
                <c:pt idx="1">
                  <c:v>03.04.</c:v>
                </c:pt>
                <c:pt idx="2">
                  <c:v>07.04.</c:v>
                </c:pt>
                <c:pt idx="3">
                  <c:v>11.04.</c:v>
                </c:pt>
                <c:pt idx="4">
                  <c:v>18.04.</c:v>
                </c:pt>
                <c:pt idx="5">
                  <c:v>20.04.</c:v>
                </c:pt>
                <c:pt idx="6">
                  <c:v>25.04.</c:v>
                </c:pt>
                <c:pt idx="7">
                  <c:v>28.04.</c:v>
                </c:pt>
                <c:pt idx="8">
                  <c:v>04.05.</c:v>
                </c:pt>
                <c:pt idx="9">
                  <c:v>09.05.</c:v>
                </c:pt>
                <c:pt idx="10">
                  <c:v>13.05.</c:v>
                </c:pt>
                <c:pt idx="11">
                  <c:v>16.05.</c:v>
                </c:pt>
                <c:pt idx="12">
                  <c:v>19.05.</c:v>
                </c:pt>
                <c:pt idx="13">
                  <c:v>25.05.</c:v>
                </c:pt>
                <c:pt idx="14">
                  <c:v>28.05.</c:v>
                </c:pt>
                <c:pt idx="15">
                  <c:v>01.06.</c:v>
                </c:pt>
                <c:pt idx="16">
                  <c:v>03.06.</c:v>
                </c:pt>
                <c:pt idx="17">
                  <c:v>06.06.</c:v>
                </c:pt>
                <c:pt idx="18">
                  <c:v>08.06.</c:v>
                </c:pt>
                <c:pt idx="19">
                  <c:v>10.06.</c:v>
                </c:pt>
                <c:pt idx="20">
                  <c:v>13.06.</c:v>
                </c:pt>
                <c:pt idx="21">
                  <c:v>15.06.</c:v>
                </c:pt>
                <c:pt idx="22">
                  <c:v>17.06.</c:v>
                </c:pt>
                <c:pt idx="23">
                  <c:v>20.06.</c:v>
                </c:pt>
                <c:pt idx="24">
                  <c:v>22.06.</c:v>
                </c:pt>
                <c:pt idx="25">
                  <c:v>24.06.</c:v>
                </c:pt>
                <c:pt idx="26">
                  <c:v>27.06.</c:v>
                </c:pt>
                <c:pt idx="27">
                  <c:v>29.06.</c:v>
                </c:pt>
                <c:pt idx="28">
                  <c:v>03.07.</c:v>
                </c:pt>
                <c:pt idx="29">
                  <c:v>06.07.</c:v>
                </c:pt>
                <c:pt idx="30">
                  <c:v>08.07.</c:v>
                </c:pt>
                <c:pt idx="31">
                  <c:v>11.07.</c:v>
                </c:pt>
                <c:pt idx="32">
                  <c:v>16.07.</c:v>
                </c:pt>
              </c:strCache>
            </c:strRef>
          </c:cat>
          <c:val>
            <c:numRef>
              <c:f>Sheet1!$B$14:$AH$14</c:f>
              <c:numCache>
                <c:formatCode>0.0</c:formatCode>
                <c:ptCount val="33"/>
                <c:pt idx="0" formatCode="General">
                  <c:v>8.4</c:v>
                </c:pt>
                <c:pt idx="1">
                  <c:v>7.7333333333333343</c:v>
                </c:pt>
                <c:pt idx="2">
                  <c:v>11.775</c:v>
                </c:pt>
                <c:pt idx="3">
                  <c:v>12.725000000000001</c:v>
                </c:pt>
                <c:pt idx="4">
                  <c:v>9.1571428571428566</c:v>
                </c:pt>
                <c:pt idx="5">
                  <c:v>11.8</c:v>
                </c:pt>
                <c:pt idx="6">
                  <c:v>12.040000000000001</c:v>
                </c:pt>
                <c:pt idx="7">
                  <c:v>12.333333333333334</c:v>
                </c:pt>
                <c:pt idx="8">
                  <c:v>14.4</c:v>
                </c:pt>
                <c:pt idx="9" formatCode="General">
                  <c:v>10.82</c:v>
                </c:pt>
                <c:pt idx="10" formatCode="General">
                  <c:v>13.974999999999998</c:v>
                </c:pt>
                <c:pt idx="11" formatCode="General">
                  <c:v>18.2</c:v>
                </c:pt>
                <c:pt idx="12" formatCode="General">
                  <c:v>16.366666666666664</c:v>
                </c:pt>
                <c:pt idx="13" formatCode="General">
                  <c:v>19.733333333333334</c:v>
                </c:pt>
                <c:pt idx="14" formatCode="General">
                  <c:v>19</c:v>
                </c:pt>
                <c:pt idx="15" formatCode="General">
                  <c:v>19.25</c:v>
                </c:pt>
                <c:pt idx="16" formatCode="General">
                  <c:v>19.649999999999999</c:v>
                </c:pt>
                <c:pt idx="17" formatCode="General">
                  <c:v>21.3</c:v>
                </c:pt>
                <c:pt idx="18" formatCode="General">
                  <c:v>23.85</c:v>
                </c:pt>
                <c:pt idx="19" formatCode="General">
                  <c:v>19.5</c:v>
                </c:pt>
                <c:pt idx="20">
                  <c:v>18.7</c:v>
                </c:pt>
                <c:pt idx="21">
                  <c:v>20.399999999999999</c:v>
                </c:pt>
                <c:pt idx="22">
                  <c:v>21.549999999999997</c:v>
                </c:pt>
                <c:pt idx="23">
                  <c:v>22.599999999999998</c:v>
                </c:pt>
                <c:pt idx="24">
                  <c:v>18.899999999999999</c:v>
                </c:pt>
                <c:pt idx="25">
                  <c:v>24.65</c:v>
                </c:pt>
                <c:pt idx="26">
                  <c:v>19.466666666666665</c:v>
                </c:pt>
                <c:pt idx="27">
                  <c:v>18.55</c:v>
                </c:pt>
                <c:pt idx="28">
                  <c:v>17.7</c:v>
                </c:pt>
                <c:pt idx="29">
                  <c:v>23.3</c:v>
                </c:pt>
                <c:pt idx="30">
                  <c:v>23.3</c:v>
                </c:pt>
                <c:pt idx="31">
                  <c:v>26.100000000000005</c:v>
                </c:pt>
                <c:pt idx="32" formatCode="General">
                  <c:v>26.1</c:v>
                </c:pt>
              </c:numCache>
            </c:numRef>
          </c:val>
          <c:smooth val="0"/>
          <c:extLst>
            <c:ext xmlns:c16="http://schemas.microsoft.com/office/drawing/2014/chart" uri="{C3380CC4-5D6E-409C-BE32-E72D297353CC}">
              <c16:uniqueId val="{00000001-DF8D-4262-BE4F-3CFFCB98DCD7}"/>
            </c:ext>
          </c:extLst>
        </c:ser>
        <c:dLbls>
          <c:showLegendKey val="0"/>
          <c:showVal val="0"/>
          <c:showCatName val="0"/>
          <c:showSerName val="0"/>
          <c:showPercent val="0"/>
          <c:showBubbleSize val="0"/>
        </c:dLbls>
        <c:marker val="1"/>
        <c:smooth val="0"/>
        <c:axId val="40715392"/>
        <c:axId val="40713216"/>
      </c:lineChart>
      <c:catAx>
        <c:axId val="40708736"/>
        <c:scaling>
          <c:orientation val="minMax"/>
        </c:scaling>
        <c:delete val="0"/>
        <c:axPos val="b"/>
        <c:title>
          <c:tx>
            <c:rich>
              <a:bodyPr/>
              <a:lstStyle/>
              <a:p>
                <a:pPr>
                  <a:defRPr b="1"/>
                </a:pPr>
                <a:r>
                  <a:rPr lang="en-US" b="1"/>
                  <a:t>Date</a:t>
                </a:r>
                <a:endParaRPr lang="bg-BG" b="1"/>
              </a:p>
            </c:rich>
          </c:tx>
          <c:layout>
            <c:manualLayout>
              <c:xMode val="edge"/>
              <c:yMode val="edge"/>
              <c:x val="0.50776099651005302"/>
              <c:y val="0.91283858267716533"/>
            </c:manualLayout>
          </c:layout>
          <c:overlay val="0"/>
        </c:title>
        <c:numFmt formatCode="General" sourceLinked="0"/>
        <c:majorTickMark val="out"/>
        <c:minorTickMark val="none"/>
        <c:tickLblPos val="nextTo"/>
        <c:spPr>
          <a:ln>
            <a:solidFill>
              <a:sysClr val="windowText" lastClr="000000"/>
            </a:solidFill>
          </a:ln>
        </c:spPr>
        <c:txPr>
          <a:bodyPr rot="-5400000" vert="horz"/>
          <a:lstStyle/>
          <a:p>
            <a:pPr>
              <a:defRPr/>
            </a:pPr>
            <a:endParaRPr lang="en-US"/>
          </a:p>
        </c:txPr>
        <c:crossAx val="40711296"/>
        <c:crosses val="autoZero"/>
        <c:auto val="1"/>
        <c:lblAlgn val="ctr"/>
        <c:lblOffset val="100"/>
        <c:noMultiLvlLbl val="0"/>
      </c:catAx>
      <c:valAx>
        <c:axId val="40711296"/>
        <c:scaling>
          <c:orientation val="minMax"/>
        </c:scaling>
        <c:delete val="0"/>
        <c:axPos val="l"/>
        <c:title>
          <c:tx>
            <c:rich>
              <a:bodyPr rot="-5400000" vert="horz"/>
              <a:lstStyle/>
              <a:p>
                <a:pPr>
                  <a:defRPr b="1"/>
                </a:pPr>
                <a:r>
                  <a:rPr lang="en-US" sz="1100" b="1" i="0" u="none" strike="noStrike" baseline="0"/>
                  <a:t>Mean number ± SE</a:t>
                </a:r>
                <a:endParaRPr lang="en-US" b="1"/>
              </a:p>
            </c:rich>
          </c:tx>
          <c:layout>
            <c:manualLayout>
              <c:xMode val="edge"/>
              <c:yMode val="edge"/>
              <c:x val="6.2818680875258532E-3"/>
              <c:y val="0.26788976377952844"/>
            </c:manualLayout>
          </c:layout>
          <c:overlay val="0"/>
        </c:title>
        <c:numFmt formatCode="0" sourceLinked="0"/>
        <c:majorTickMark val="out"/>
        <c:minorTickMark val="none"/>
        <c:tickLblPos val="nextTo"/>
        <c:spPr>
          <a:ln>
            <a:solidFill>
              <a:schemeClr val="tx1"/>
            </a:solidFill>
          </a:ln>
        </c:spPr>
        <c:crossAx val="40708736"/>
        <c:crosses val="autoZero"/>
        <c:crossBetween val="between"/>
      </c:valAx>
      <c:valAx>
        <c:axId val="40713216"/>
        <c:scaling>
          <c:orientation val="minMax"/>
        </c:scaling>
        <c:delete val="0"/>
        <c:axPos val="r"/>
        <c:title>
          <c:tx>
            <c:rich>
              <a:bodyPr rot="-5400000" vert="horz"/>
              <a:lstStyle/>
              <a:p>
                <a:pPr>
                  <a:defRPr/>
                </a:pPr>
                <a:r>
                  <a:rPr lang="en-US" sz="1100" b="0" i="0" u="none" strike="noStrike" baseline="0"/>
                  <a:t>Mean temperature, °C</a:t>
                </a:r>
                <a:endParaRPr lang="en-US"/>
              </a:p>
            </c:rich>
          </c:tx>
          <c:layout>
            <c:manualLayout>
              <c:xMode val="edge"/>
              <c:yMode val="edge"/>
              <c:x val="0.94865613671222926"/>
              <c:y val="0.23393150680472505"/>
            </c:manualLayout>
          </c:layout>
          <c:overlay val="0"/>
        </c:title>
        <c:numFmt formatCode="General" sourceLinked="1"/>
        <c:majorTickMark val="out"/>
        <c:minorTickMark val="none"/>
        <c:tickLblPos val="nextTo"/>
        <c:crossAx val="40715392"/>
        <c:crosses val="max"/>
        <c:crossBetween val="between"/>
      </c:valAx>
      <c:catAx>
        <c:axId val="40715392"/>
        <c:scaling>
          <c:orientation val="minMax"/>
        </c:scaling>
        <c:delete val="1"/>
        <c:axPos val="b"/>
        <c:numFmt formatCode="General" sourceLinked="1"/>
        <c:majorTickMark val="out"/>
        <c:minorTickMark val="none"/>
        <c:tickLblPos val="nextTo"/>
        <c:crossAx val="40713216"/>
        <c:crosses val="autoZero"/>
        <c:auto val="1"/>
        <c:lblAlgn val="ctr"/>
        <c:lblOffset val="100"/>
        <c:noMultiLvlLbl val="0"/>
      </c:catAx>
      <c:spPr>
        <a:noFill/>
        <a:ln>
          <a:solidFill>
            <a:srgbClr val="000000"/>
          </a:solidFill>
        </a:ln>
      </c:spPr>
    </c:plotArea>
    <c:plotVisOnly val="1"/>
    <c:dispBlanksAs val="gap"/>
    <c:showDLblsOverMax val="0"/>
  </c:chart>
  <c:spPr>
    <a:noFill/>
    <a:ln>
      <a:solidFill>
        <a:schemeClr val="bg1">
          <a:lumMod val="50000"/>
        </a:schemeClr>
      </a:solidFill>
    </a:ln>
  </c:spPr>
  <c:txPr>
    <a:bodyPr/>
    <a:lstStyle/>
    <a:p>
      <a:pPr>
        <a:defRPr sz="1100" b="0">
          <a:latin typeface="Times New Roman" pitchFamily="18" charset="0"/>
          <a:cs typeface="Times New Roman" pitchFamily="18" charset="0"/>
        </a:defRPr>
      </a:pPr>
      <a:endParaRPr lang="en-US"/>
    </a:p>
  </c:txPr>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3417410323709539"/>
          <c:y val="3.7008398950131242E-2"/>
          <c:w val="0.60336570428696401"/>
          <c:h val="0.71530783946824561"/>
        </c:manualLayout>
      </c:layout>
      <c:lineChart>
        <c:grouping val="standard"/>
        <c:varyColors val="0"/>
        <c:ser>
          <c:idx val="0"/>
          <c:order val="0"/>
          <c:tx>
            <c:strRef>
              <c:f>Фигури!$M$2</c:f>
              <c:strCache>
                <c:ptCount val="1"/>
                <c:pt idx="0">
                  <c:v>10</c:v>
                </c:pt>
              </c:strCache>
            </c:strRef>
          </c:tx>
          <c:val>
            <c:numRef>
              <c:f>Фигури!$M$3:$M$12</c:f>
              <c:numCache>
                <c:formatCode>0.00</c:formatCode>
                <c:ptCount val="10"/>
                <c:pt idx="0">
                  <c:v>100</c:v>
                </c:pt>
                <c:pt idx="1">
                  <c:v>100</c:v>
                </c:pt>
                <c:pt idx="2">
                  <c:v>100</c:v>
                </c:pt>
                <c:pt idx="3">
                  <c:v>100</c:v>
                </c:pt>
                <c:pt idx="4">
                  <c:v>100</c:v>
                </c:pt>
                <c:pt idx="5">
                  <c:v>100</c:v>
                </c:pt>
                <c:pt idx="6">
                  <c:v>100</c:v>
                </c:pt>
                <c:pt idx="7">
                  <c:v>100</c:v>
                </c:pt>
                <c:pt idx="8">
                  <c:v>100</c:v>
                </c:pt>
                <c:pt idx="9" formatCode="General">
                  <c:v>100</c:v>
                </c:pt>
              </c:numCache>
            </c:numRef>
          </c:val>
          <c:smooth val="0"/>
          <c:extLst>
            <c:ext xmlns:c16="http://schemas.microsoft.com/office/drawing/2014/chart" uri="{C3380CC4-5D6E-409C-BE32-E72D297353CC}">
              <c16:uniqueId val="{00000000-F2F6-492E-8AAC-D8183AD0F61B}"/>
            </c:ext>
          </c:extLst>
        </c:ser>
        <c:ser>
          <c:idx val="1"/>
          <c:order val="1"/>
          <c:tx>
            <c:strRef>
              <c:f>Фигури!$N$2</c:f>
              <c:strCache>
                <c:ptCount val="1"/>
                <c:pt idx="0">
                  <c:v>1</c:v>
                </c:pt>
              </c:strCache>
            </c:strRef>
          </c:tx>
          <c:marker>
            <c:symbol val="square"/>
            <c:size val="5"/>
          </c:marker>
          <c:errBars>
            <c:errDir val="y"/>
            <c:errBarType val="both"/>
            <c:errValType val="cust"/>
            <c:noEndCap val="0"/>
            <c:plus>
              <c:numRef>
                <c:f>Фигури!$N$17:$N$26</c:f>
                <c:numCache>
                  <c:formatCode>General</c:formatCode>
                  <c:ptCount val="10"/>
                  <c:pt idx="0">
                    <c:v>4.4095855184409833</c:v>
                  </c:pt>
                  <c:pt idx="1">
                    <c:v>4.4095855184409833</c:v>
                  </c:pt>
                  <c:pt idx="2">
                    <c:v>4.4095855184409833</c:v>
                  </c:pt>
                  <c:pt idx="3">
                    <c:v>4.4095855184409833</c:v>
                  </c:pt>
                  <c:pt idx="4">
                    <c:v>1.6666666666666667</c:v>
                  </c:pt>
                  <c:pt idx="5">
                    <c:v>1.8126296771729655</c:v>
                  </c:pt>
                  <c:pt idx="6">
                    <c:v>1.8483603075180222</c:v>
                  </c:pt>
                  <c:pt idx="7">
                    <c:v>0.19493177387914318</c:v>
                  </c:pt>
                  <c:pt idx="8">
                    <c:v>1.9493177387914262</c:v>
                  </c:pt>
                  <c:pt idx="9">
                    <c:v>1.9493177387914262</c:v>
                  </c:pt>
                </c:numCache>
              </c:numRef>
            </c:plus>
            <c:minus>
              <c:numRef>
                <c:f>Фигури!$N$17:$N$26</c:f>
                <c:numCache>
                  <c:formatCode>General</c:formatCode>
                  <c:ptCount val="10"/>
                  <c:pt idx="0">
                    <c:v>4.4095855184409833</c:v>
                  </c:pt>
                  <c:pt idx="1">
                    <c:v>4.4095855184409833</c:v>
                  </c:pt>
                  <c:pt idx="2">
                    <c:v>4.4095855184409833</c:v>
                  </c:pt>
                  <c:pt idx="3">
                    <c:v>4.4095855184409833</c:v>
                  </c:pt>
                  <c:pt idx="4">
                    <c:v>1.6666666666666667</c:v>
                  </c:pt>
                  <c:pt idx="5">
                    <c:v>1.8126296771729655</c:v>
                  </c:pt>
                  <c:pt idx="6">
                    <c:v>1.8483603075180222</c:v>
                  </c:pt>
                  <c:pt idx="7">
                    <c:v>0.19493177387914318</c:v>
                  </c:pt>
                  <c:pt idx="8">
                    <c:v>1.9493177387914262</c:v>
                  </c:pt>
                  <c:pt idx="9">
                    <c:v>1.9493177387914262</c:v>
                  </c:pt>
                </c:numCache>
              </c:numRef>
            </c:minus>
          </c:errBars>
          <c:val>
            <c:numRef>
              <c:f>Фигури!$N$3:$N$12</c:f>
              <c:numCache>
                <c:formatCode>0.00</c:formatCode>
                <c:ptCount val="10"/>
                <c:pt idx="0">
                  <c:v>81.666666666666671</c:v>
                </c:pt>
                <c:pt idx="1">
                  <c:v>81.666666666666671</c:v>
                </c:pt>
                <c:pt idx="2">
                  <c:v>81.666666666666671</c:v>
                </c:pt>
                <c:pt idx="3">
                  <c:v>81.666666666666671</c:v>
                </c:pt>
                <c:pt idx="4">
                  <c:v>86.666666666666671</c:v>
                </c:pt>
                <c:pt idx="5">
                  <c:v>86.403508771929808</c:v>
                </c:pt>
                <c:pt idx="6">
                  <c:v>87.894736842105246</c:v>
                </c:pt>
                <c:pt idx="7">
                  <c:v>89.278752436647139</c:v>
                </c:pt>
                <c:pt idx="8">
                  <c:v>90.838206627680307</c:v>
                </c:pt>
                <c:pt idx="9" formatCode="General">
                  <c:v>90.838206627680307</c:v>
                </c:pt>
              </c:numCache>
            </c:numRef>
          </c:val>
          <c:smooth val="0"/>
          <c:extLst>
            <c:ext xmlns:c16="http://schemas.microsoft.com/office/drawing/2014/chart" uri="{C3380CC4-5D6E-409C-BE32-E72D297353CC}">
              <c16:uniqueId val="{00000001-F2F6-492E-8AAC-D8183AD0F61B}"/>
            </c:ext>
          </c:extLst>
        </c:ser>
        <c:ser>
          <c:idx val="2"/>
          <c:order val="2"/>
          <c:tx>
            <c:strRef>
              <c:f>Фигури!$O$2</c:f>
              <c:strCache>
                <c:ptCount val="1"/>
                <c:pt idx="0">
                  <c:v>0.1</c:v>
                </c:pt>
              </c:strCache>
            </c:strRef>
          </c:tx>
          <c:spPr>
            <a:ln>
              <a:solidFill>
                <a:srgbClr val="00B050"/>
              </a:solidFill>
            </a:ln>
          </c:spPr>
          <c:marker>
            <c:symbol val="triangle"/>
            <c:size val="7"/>
            <c:spPr>
              <a:solidFill>
                <a:srgbClr val="92D050"/>
              </a:solidFill>
              <a:ln>
                <a:solidFill>
                  <a:srgbClr val="13A907"/>
                </a:solidFill>
              </a:ln>
            </c:spPr>
          </c:marker>
          <c:errBars>
            <c:errDir val="y"/>
            <c:errBarType val="both"/>
            <c:errValType val="cust"/>
            <c:noEndCap val="0"/>
            <c:plus>
              <c:numRef>
                <c:f>Фигури!$O$17:$O$26</c:f>
                <c:numCache>
                  <c:formatCode>General</c:formatCode>
                  <c:ptCount val="10"/>
                  <c:pt idx="0">
                    <c:v>0</c:v>
                  </c:pt>
                  <c:pt idx="1">
                    <c:v>1.6666666666666667</c:v>
                  </c:pt>
                  <c:pt idx="2">
                    <c:v>1.6666666666666667</c:v>
                  </c:pt>
                  <c:pt idx="3">
                    <c:v>1.6666666666666667</c:v>
                  </c:pt>
                  <c:pt idx="4">
                    <c:v>1.6666666666666665</c:v>
                  </c:pt>
                  <c:pt idx="5">
                    <c:v>4.3798202571297988</c:v>
                  </c:pt>
                  <c:pt idx="6">
                    <c:v>7.2468033516922405</c:v>
                  </c:pt>
                  <c:pt idx="7">
                    <c:v>8.1353369350975626</c:v>
                  </c:pt>
                  <c:pt idx="8">
                    <c:v>9.436087246463206</c:v>
                  </c:pt>
                  <c:pt idx="9">
                    <c:v>11.150796063121689</c:v>
                  </c:pt>
                </c:numCache>
              </c:numRef>
            </c:plus>
            <c:minus>
              <c:numRef>
                <c:f>Фигури!$O$17:$O$26</c:f>
                <c:numCache>
                  <c:formatCode>General</c:formatCode>
                  <c:ptCount val="10"/>
                  <c:pt idx="0">
                    <c:v>0</c:v>
                  </c:pt>
                  <c:pt idx="1">
                    <c:v>1.6666666666666667</c:v>
                  </c:pt>
                  <c:pt idx="2">
                    <c:v>1.6666666666666667</c:v>
                  </c:pt>
                  <c:pt idx="3">
                    <c:v>1.6666666666666667</c:v>
                  </c:pt>
                  <c:pt idx="4">
                    <c:v>1.6666666666666665</c:v>
                  </c:pt>
                  <c:pt idx="5">
                    <c:v>4.3798202571297988</c:v>
                  </c:pt>
                  <c:pt idx="6">
                    <c:v>7.2468033516922405</c:v>
                  </c:pt>
                  <c:pt idx="7">
                    <c:v>8.1353369350975626</c:v>
                  </c:pt>
                  <c:pt idx="8">
                    <c:v>9.436087246463206</c:v>
                  </c:pt>
                  <c:pt idx="9">
                    <c:v>11.150796063121689</c:v>
                  </c:pt>
                </c:numCache>
              </c:numRef>
            </c:minus>
          </c:errBars>
          <c:val>
            <c:numRef>
              <c:f>Фигури!$O$3:$O$12</c:f>
              <c:numCache>
                <c:formatCode>0.00</c:formatCode>
                <c:ptCount val="10"/>
                <c:pt idx="0">
                  <c:v>0</c:v>
                </c:pt>
                <c:pt idx="1">
                  <c:v>1.6666666666666667</c:v>
                </c:pt>
                <c:pt idx="2">
                  <c:v>1.6666666666666667</c:v>
                </c:pt>
                <c:pt idx="3">
                  <c:v>3.3333333333333335</c:v>
                </c:pt>
                <c:pt idx="4">
                  <c:v>8.3333333333333357</c:v>
                </c:pt>
                <c:pt idx="5">
                  <c:v>11.842105263157896</c:v>
                </c:pt>
                <c:pt idx="6">
                  <c:v>11.842105263157896</c:v>
                </c:pt>
                <c:pt idx="7">
                  <c:v>10.428849902534113</c:v>
                </c:pt>
                <c:pt idx="8">
                  <c:v>12.47563352826511</c:v>
                </c:pt>
                <c:pt idx="9" formatCode="General">
                  <c:v>16.081871345029239</c:v>
                </c:pt>
              </c:numCache>
            </c:numRef>
          </c:val>
          <c:smooth val="0"/>
          <c:extLst>
            <c:ext xmlns:c16="http://schemas.microsoft.com/office/drawing/2014/chart" uri="{C3380CC4-5D6E-409C-BE32-E72D297353CC}">
              <c16:uniqueId val="{00000002-F2F6-492E-8AAC-D8183AD0F61B}"/>
            </c:ext>
          </c:extLst>
        </c:ser>
        <c:ser>
          <c:idx val="3"/>
          <c:order val="3"/>
          <c:tx>
            <c:strRef>
              <c:f>Фигури!$P$2</c:f>
              <c:strCache>
                <c:ptCount val="1"/>
                <c:pt idx="0">
                  <c:v>0.01</c:v>
                </c:pt>
              </c:strCache>
            </c:strRef>
          </c:tx>
          <c:spPr>
            <a:ln>
              <a:solidFill>
                <a:srgbClr val="FFC000"/>
              </a:solidFill>
            </a:ln>
          </c:spPr>
          <c:marker>
            <c:symbol val="circle"/>
            <c:size val="7"/>
            <c:spPr>
              <a:solidFill>
                <a:srgbClr val="FFC000"/>
              </a:solidFill>
              <a:ln>
                <a:solidFill>
                  <a:srgbClr val="FFC000"/>
                </a:solidFill>
              </a:ln>
            </c:spPr>
          </c:marker>
          <c:errBars>
            <c:errDir val="y"/>
            <c:errBarType val="both"/>
            <c:errValType val="cust"/>
            <c:noEndCap val="0"/>
            <c:plus>
              <c:numRef>
                <c:f>Фигури!$P$17:$P$26</c:f>
                <c:numCache>
                  <c:formatCode>General</c:formatCode>
                  <c:ptCount val="10"/>
                  <c:pt idx="0">
                    <c:v>1.6666666666666667</c:v>
                  </c:pt>
                  <c:pt idx="1">
                    <c:v>1.6666666666666667</c:v>
                  </c:pt>
                  <c:pt idx="2">
                    <c:v>1.6666666666666667</c:v>
                  </c:pt>
                  <c:pt idx="3">
                    <c:v>1.6666666666666667</c:v>
                  </c:pt>
                  <c:pt idx="4">
                    <c:v>1.6666666666666665</c:v>
                  </c:pt>
                  <c:pt idx="5">
                    <c:v>3.3333333333333335</c:v>
                  </c:pt>
                  <c:pt idx="6">
                    <c:v>4.9122807017543879</c:v>
                  </c:pt>
                  <c:pt idx="7">
                    <c:v>5.2151080786244624</c:v>
                  </c:pt>
                  <c:pt idx="8">
                    <c:v>4.9400880691907156</c:v>
                  </c:pt>
                  <c:pt idx="9">
                    <c:v>6.733616159616326</c:v>
                  </c:pt>
                </c:numCache>
              </c:numRef>
            </c:plus>
            <c:minus>
              <c:numRef>
                <c:f>Фигури!$P$17:$P$26</c:f>
                <c:numCache>
                  <c:formatCode>General</c:formatCode>
                  <c:ptCount val="10"/>
                  <c:pt idx="0">
                    <c:v>1.6666666666666667</c:v>
                  </c:pt>
                  <c:pt idx="1">
                    <c:v>1.6666666666666667</c:v>
                  </c:pt>
                  <c:pt idx="2">
                    <c:v>1.6666666666666667</c:v>
                  </c:pt>
                  <c:pt idx="3">
                    <c:v>1.6666666666666667</c:v>
                  </c:pt>
                  <c:pt idx="4">
                    <c:v>1.6666666666666665</c:v>
                  </c:pt>
                  <c:pt idx="5">
                    <c:v>3.3333333333333335</c:v>
                  </c:pt>
                  <c:pt idx="6">
                    <c:v>4.9122807017543879</c:v>
                  </c:pt>
                  <c:pt idx="7">
                    <c:v>5.2151080786244624</c:v>
                  </c:pt>
                  <c:pt idx="8">
                    <c:v>4.9400880691907156</c:v>
                  </c:pt>
                  <c:pt idx="9">
                    <c:v>6.733616159616326</c:v>
                  </c:pt>
                </c:numCache>
              </c:numRef>
            </c:minus>
          </c:errBars>
          <c:val>
            <c:numRef>
              <c:f>Фигури!$P$3:$P$12</c:f>
              <c:numCache>
                <c:formatCode>0.00</c:formatCode>
                <c:ptCount val="10"/>
                <c:pt idx="0">
                  <c:v>1.6666666666666667</c:v>
                </c:pt>
                <c:pt idx="1">
                  <c:v>1.6666666666666667</c:v>
                </c:pt>
                <c:pt idx="2">
                  <c:v>1.6666666666666667</c:v>
                </c:pt>
                <c:pt idx="3">
                  <c:v>3.3333333333333335</c:v>
                </c:pt>
                <c:pt idx="4">
                  <c:v>6.666666666666667</c:v>
                </c:pt>
                <c:pt idx="5">
                  <c:v>6.666666666666667</c:v>
                </c:pt>
                <c:pt idx="6">
                  <c:v>10.175438596491231</c:v>
                </c:pt>
                <c:pt idx="7">
                  <c:v>10.623781676413257</c:v>
                </c:pt>
                <c:pt idx="8">
                  <c:v>12.768031189083819</c:v>
                </c:pt>
                <c:pt idx="9" formatCode="General">
                  <c:v>14.619883040935672</c:v>
                </c:pt>
              </c:numCache>
            </c:numRef>
          </c:val>
          <c:smooth val="0"/>
          <c:extLst>
            <c:ext xmlns:c16="http://schemas.microsoft.com/office/drawing/2014/chart" uri="{C3380CC4-5D6E-409C-BE32-E72D297353CC}">
              <c16:uniqueId val="{00000003-F2F6-492E-8AAC-D8183AD0F61B}"/>
            </c:ext>
          </c:extLst>
        </c:ser>
        <c:dLbls>
          <c:showLegendKey val="0"/>
          <c:showVal val="0"/>
          <c:showCatName val="0"/>
          <c:showSerName val="0"/>
          <c:showPercent val="0"/>
          <c:showBubbleSize val="0"/>
        </c:dLbls>
        <c:marker val="1"/>
        <c:smooth val="0"/>
        <c:axId val="40742912"/>
        <c:axId val="40744832"/>
      </c:lineChart>
      <c:catAx>
        <c:axId val="40742912"/>
        <c:scaling>
          <c:orientation val="minMax"/>
        </c:scaling>
        <c:delete val="0"/>
        <c:axPos val="b"/>
        <c:title>
          <c:tx>
            <c:rich>
              <a:bodyPr/>
              <a:lstStyle/>
              <a:p>
                <a:pPr>
                  <a:defRPr sz="1100" b="0"/>
                </a:pPr>
                <a:r>
                  <a:rPr lang="en-US" sz="1100" b="1" i="0" u="none" strike="noStrike" baseline="0"/>
                  <a:t>Days after treatment</a:t>
                </a:r>
                <a:endParaRPr lang="bg-BG" sz="1100" b="0"/>
              </a:p>
            </c:rich>
          </c:tx>
          <c:layout>
            <c:manualLayout>
              <c:xMode val="edge"/>
              <c:yMode val="edge"/>
              <c:x val="0.34719408096178067"/>
              <c:y val="0.89827236197245219"/>
            </c:manualLayout>
          </c:layout>
          <c:overlay val="0"/>
        </c:title>
        <c:majorTickMark val="out"/>
        <c:minorTickMark val="none"/>
        <c:tickLblPos val="nextTo"/>
        <c:spPr>
          <a:ln w="15875">
            <a:solidFill>
              <a:schemeClr val="tx1"/>
            </a:solidFill>
          </a:ln>
        </c:spPr>
        <c:crossAx val="40744832"/>
        <c:crosses val="autoZero"/>
        <c:auto val="1"/>
        <c:lblAlgn val="ctr"/>
        <c:lblOffset val="100"/>
        <c:noMultiLvlLbl val="0"/>
      </c:catAx>
      <c:valAx>
        <c:axId val="40744832"/>
        <c:scaling>
          <c:orientation val="minMax"/>
          <c:max val="100"/>
          <c:min val="0"/>
        </c:scaling>
        <c:delete val="0"/>
        <c:axPos val="l"/>
        <c:title>
          <c:tx>
            <c:rich>
              <a:bodyPr rot="-5400000" vert="horz"/>
              <a:lstStyle/>
              <a:p>
                <a:pPr>
                  <a:defRPr sz="1100" b="1"/>
                </a:pPr>
                <a:r>
                  <a:rPr lang="en-US" sz="1100" b="1" i="0" u="none" strike="noStrike" baseline="0"/>
                  <a:t>Mean % corrected mortality</a:t>
                </a:r>
              </a:p>
              <a:p>
                <a:pPr>
                  <a:defRPr sz="1100" b="1"/>
                </a:pPr>
                <a:r>
                  <a:rPr lang="en-US" sz="1100" b="1" i="0" u="none" strike="noStrike" baseline="0"/>
                  <a:t>(± SE)</a:t>
                </a:r>
                <a:endParaRPr lang="bg-BG" sz="1100" b="1"/>
              </a:p>
            </c:rich>
          </c:tx>
          <c:layout>
            <c:manualLayout>
              <c:xMode val="edge"/>
              <c:yMode val="edge"/>
              <c:x val="5.9217815564465481E-2"/>
              <c:y val="3.7100712917642054E-2"/>
            </c:manualLayout>
          </c:layout>
          <c:overlay val="0"/>
        </c:title>
        <c:numFmt formatCode="0" sourceLinked="0"/>
        <c:majorTickMark val="out"/>
        <c:minorTickMark val="none"/>
        <c:tickLblPos val="nextTo"/>
        <c:spPr>
          <a:ln w="15875">
            <a:solidFill>
              <a:schemeClr val="tx1"/>
            </a:solidFill>
          </a:ln>
        </c:spPr>
        <c:crossAx val="40742912"/>
        <c:crosses val="autoZero"/>
        <c:crossBetween val="between"/>
        <c:majorUnit val="20"/>
      </c:valAx>
      <c:spPr>
        <a:noFill/>
        <a:ln w="6350">
          <a:solidFill>
            <a:srgbClr val="4F81BD"/>
          </a:solidFill>
        </a:ln>
      </c:spPr>
    </c:plotArea>
    <c:legend>
      <c:legendPos val="r"/>
      <c:layout>
        <c:manualLayout>
          <c:xMode val="edge"/>
          <c:yMode val="edge"/>
          <c:x val="0.8132548118985129"/>
          <c:y val="0.16995486183696076"/>
          <c:w val="0.17162423447069122"/>
          <c:h val="0.45566036418477357"/>
        </c:manualLayout>
      </c:layout>
      <c:overlay val="0"/>
    </c:legend>
    <c:plotVisOnly val="1"/>
    <c:dispBlanksAs val="gap"/>
    <c:showDLblsOverMax val="0"/>
  </c:chart>
  <c:spPr>
    <a:noFill/>
    <a:ln w="6350">
      <a:solidFill>
        <a:sysClr val="window" lastClr="FFFFFF">
          <a:lumMod val="50000"/>
        </a:sysClr>
      </a:solidFill>
    </a:ln>
  </c:spPr>
  <c:txPr>
    <a:bodyPr/>
    <a:lstStyle/>
    <a:p>
      <a:pPr>
        <a:defRPr sz="1200">
          <a:latin typeface="Times New Roman" panose="02020603050405020304" pitchFamily="18" charset="0"/>
          <a:cs typeface="Times New Roman" panose="02020603050405020304" pitchFamily="18" charset="0"/>
        </a:defRPr>
      </a:pPr>
      <a:endParaRPr lang="en-US"/>
    </a:p>
  </c:txPr>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2306304972066579"/>
          <c:y val="3.7008398950131235E-2"/>
          <c:w val="0.60996025966973566"/>
          <c:h val="0.71530783946824561"/>
        </c:manualLayout>
      </c:layout>
      <c:lineChart>
        <c:grouping val="standard"/>
        <c:varyColors val="0"/>
        <c:ser>
          <c:idx val="0"/>
          <c:order val="0"/>
          <c:tx>
            <c:strRef>
              <c:f>Фигури!$N$3</c:f>
              <c:strCache>
                <c:ptCount val="1"/>
                <c:pt idx="0">
                  <c:v>10</c:v>
                </c:pt>
              </c:strCache>
            </c:strRef>
          </c:tx>
          <c:marker>
            <c:symbol val="diamond"/>
            <c:size val="7"/>
          </c:marker>
          <c:errBars>
            <c:errDir val="y"/>
            <c:errBarType val="both"/>
            <c:errValType val="cust"/>
            <c:noEndCap val="0"/>
            <c:plus>
              <c:numRef>
                <c:f>Фигури!$N$18:$N$27</c:f>
                <c:numCache>
                  <c:formatCode>General</c:formatCode>
                  <c:ptCount val="10"/>
                  <c:pt idx="0">
                    <c:v>13.228756555322954</c:v>
                  </c:pt>
                  <c:pt idx="1">
                    <c:v>13.228756555322954</c:v>
                  </c:pt>
                  <c:pt idx="2">
                    <c:v>10.929064207170013</c:v>
                  </c:pt>
                  <c:pt idx="3">
                    <c:v>7.6376261582597325</c:v>
                  </c:pt>
                  <c:pt idx="4">
                    <c:v>6.6666666666666812</c:v>
                  </c:pt>
                  <c:pt idx="5">
                    <c:v>6.6666666666666812</c:v>
                  </c:pt>
                  <c:pt idx="6">
                    <c:v>6.6666666666666812</c:v>
                  </c:pt>
                  <c:pt idx="7">
                    <c:v>6.0874917799640258</c:v>
                  </c:pt>
                  <c:pt idx="8">
                    <c:v>6.0874917799640258</c:v>
                  </c:pt>
                  <c:pt idx="9">
                    <c:v>6.1864048475889133</c:v>
                  </c:pt>
                </c:numCache>
              </c:numRef>
            </c:plus>
            <c:minus>
              <c:numRef>
                <c:f>Фигури!$N$18:$N$27</c:f>
                <c:numCache>
                  <c:formatCode>General</c:formatCode>
                  <c:ptCount val="10"/>
                  <c:pt idx="0">
                    <c:v>13.228756555322954</c:v>
                  </c:pt>
                  <c:pt idx="1">
                    <c:v>13.228756555322954</c:v>
                  </c:pt>
                  <c:pt idx="2">
                    <c:v>10.929064207170013</c:v>
                  </c:pt>
                  <c:pt idx="3">
                    <c:v>7.6376261582597325</c:v>
                  </c:pt>
                  <c:pt idx="4">
                    <c:v>6.6666666666666812</c:v>
                  </c:pt>
                  <c:pt idx="5">
                    <c:v>6.6666666666666812</c:v>
                  </c:pt>
                  <c:pt idx="6">
                    <c:v>6.6666666666666812</c:v>
                  </c:pt>
                  <c:pt idx="7">
                    <c:v>6.0874917799640258</c:v>
                  </c:pt>
                  <c:pt idx="8">
                    <c:v>6.0874917799640258</c:v>
                  </c:pt>
                  <c:pt idx="9">
                    <c:v>6.1864048475889133</c:v>
                  </c:pt>
                </c:numCache>
              </c:numRef>
            </c:minus>
          </c:errBars>
          <c:cat>
            <c:numRef>
              <c:f>Фигури!$M$4:$M$13</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Фигури!$N$4:$N$13</c:f>
              <c:numCache>
                <c:formatCode>0.00</c:formatCode>
                <c:ptCount val="10"/>
                <c:pt idx="0">
                  <c:v>75</c:v>
                </c:pt>
                <c:pt idx="1">
                  <c:v>75</c:v>
                </c:pt>
                <c:pt idx="2">
                  <c:v>78.333333333333314</c:v>
                </c:pt>
                <c:pt idx="3">
                  <c:v>85</c:v>
                </c:pt>
                <c:pt idx="4">
                  <c:v>86.666666666666671</c:v>
                </c:pt>
                <c:pt idx="5">
                  <c:v>86.666666666666671</c:v>
                </c:pt>
                <c:pt idx="6">
                  <c:v>86.666666666666671</c:v>
                </c:pt>
                <c:pt idx="7">
                  <c:v>88.070175438596465</c:v>
                </c:pt>
                <c:pt idx="8">
                  <c:v>88.070175438596465</c:v>
                </c:pt>
                <c:pt idx="9">
                  <c:v>87.777777777777757</c:v>
                </c:pt>
              </c:numCache>
            </c:numRef>
          </c:val>
          <c:smooth val="0"/>
          <c:extLst>
            <c:ext xmlns:c16="http://schemas.microsoft.com/office/drawing/2014/chart" uri="{C3380CC4-5D6E-409C-BE32-E72D297353CC}">
              <c16:uniqueId val="{00000000-2B6F-4C9B-9336-27AEAC56B53E}"/>
            </c:ext>
          </c:extLst>
        </c:ser>
        <c:ser>
          <c:idx val="1"/>
          <c:order val="1"/>
          <c:tx>
            <c:strRef>
              <c:f>Фигури!$O$3</c:f>
              <c:strCache>
                <c:ptCount val="1"/>
                <c:pt idx="0">
                  <c:v>1</c:v>
                </c:pt>
              </c:strCache>
            </c:strRef>
          </c:tx>
          <c:marker>
            <c:symbol val="square"/>
            <c:size val="6"/>
          </c:marker>
          <c:errBars>
            <c:errDir val="y"/>
            <c:errBarType val="both"/>
            <c:errValType val="cust"/>
            <c:noEndCap val="0"/>
            <c:plus>
              <c:numRef>
                <c:f>Фигури!$O$18:$O$27</c:f>
                <c:numCache>
                  <c:formatCode>General</c:formatCode>
                  <c:ptCount val="10"/>
                  <c:pt idx="0">
                    <c:v>0</c:v>
                  </c:pt>
                  <c:pt idx="1">
                    <c:v>0</c:v>
                  </c:pt>
                  <c:pt idx="2">
                    <c:v>0</c:v>
                  </c:pt>
                  <c:pt idx="3">
                    <c:v>3.3333333333333335</c:v>
                  </c:pt>
                  <c:pt idx="4">
                    <c:v>5.0000000000000009</c:v>
                  </c:pt>
                  <c:pt idx="5">
                    <c:v>4.4095855184409842</c:v>
                  </c:pt>
                  <c:pt idx="6">
                    <c:v>2.8867513459481287</c:v>
                  </c:pt>
                  <c:pt idx="7">
                    <c:v>2.7404384827742629</c:v>
                  </c:pt>
                  <c:pt idx="8">
                    <c:v>2.7404384827742629</c:v>
                  </c:pt>
                  <c:pt idx="9">
                    <c:v>1.2825562689743495</c:v>
                  </c:pt>
                </c:numCache>
              </c:numRef>
            </c:plus>
            <c:minus>
              <c:numRef>
                <c:f>Фигури!$O$18:$O$27</c:f>
                <c:numCache>
                  <c:formatCode>General</c:formatCode>
                  <c:ptCount val="10"/>
                  <c:pt idx="0">
                    <c:v>0</c:v>
                  </c:pt>
                  <c:pt idx="1">
                    <c:v>0</c:v>
                  </c:pt>
                  <c:pt idx="2">
                    <c:v>0</c:v>
                  </c:pt>
                  <c:pt idx="3">
                    <c:v>3.3333333333333335</c:v>
                  </c:pt>
                  <c:pt idx="4">
                    <c:v>5.0000000000000009</c:v>
                  </c:pt>
                  <c:pt idx="5">
                    <c:v>4.4095855184409842</c:v>
                  </c:pt>
                  <c:pt idx="6">
                    <c:v>2.8867513459481287</c:v>
                  </c:pt>
                  <c:pt idx="7">
                    <c:v>2.7404384827742629</c:v>
                  </c:pt>
                  <c:pt idx="8">
                    <c:v>2.7404384827742629</c:v>
                  </c:pt>
                  <c:pt idx="9">
                    <c:v>1.2825562689743495</c:v>
                  </c:pt>
                </c:numCache>
              </c:numRef>
            </c:minus>
          </c:errBars>
          <c:cat>
            <c:numRef>
              <c:f>Фигури!$M$4:$M$13</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Фигури!$O$4:$O$13</c:f>
              <c:numCache>
                <c:formatCode>0.00</c:formatCode>
                <c:ptCount val="10"/>
                <c:pt idx="0">
                  <c:v>0</c:v>
                </c:pt>
                <c:pt idx="1">
                  <c:v>0</c:v>
                </c:pt>
                <c:pt idx="2">
                  <c:v>5</c:v>
                </c:pt>
                <c:pt idx="3">
                  <c:v>8.3333333333333357</c:v>
                </c:pt>
                <c:pt idx="4">
                  <c:v>10</c:v>
                </c:pt>
                <c:pt idx="5">
                  <c:v>11.666666666666668</c:v>
                </c:pt>
                <c:pt idx="6">
                  <c:v>15</c:v>
                </c:pt>
                <c:pt idx="7">
                  <c:v>15.43859649122807</c:v>
                </c:pt>
                <c:pt idx="8">
                  <c:v>15.43859649122807</c:v>
                </c:pt>
                <c:pt idx="9">
                  <c:v>17.48538011695906</c:v>
                </c:pt>
              </c:numCache>
            </c:numRef>
          </c:val>
          <c:smooth val="0"/>
          <c:extLst>
            <c:ext xmlns:c16="http://schemas.microsoft.com/office/drawing/2014/chart" uri="{C3380CC4-5D6E-409C-BE32-E72D297353CC}">
              <c16:uniqueId val="{00000001-2B6F-4C9B-9336-27AEAC56B53E}"/>
            </c:ext>
          </c:extLst>
        </c:ser>
        <c:ser>
          <c:idx val="2"/>
          <c:order val="2"/>
          <c:tx>
            <c:strRef>
              <c:f>Фигури!$P$3</c:f>
              <c:strCache>
                <c:ptCount val="1"/>
                <c:pt idx="0">
                  <c:v>0.1</c:v>
                </c:pt>
              </c:strCache>
            </c:strRef>
          </c:tx>
          <c:spPr>
            <a:ln>
              <a:solidFill>
                <a:srgbClr val="13A907"/>
              </a:solidFill>
            </a:ln>
          </c:spPr>
          <c:marker>
            <c:spPr>
              <a:ln>
                <a:solidFill>
                  <a:srgbClr val="13A907"/>
                </a:solidFill>
              </a:ln>
            </c:spPr>
          </c:marker>
          <c:errBars>
            <c:errDir val="y"/>
            <c:errBarType val="both"/>
            <c:errValType val="cust"/>
            <c:noEndCap val="0"/>
            <c:plus>
              <c:numRef>
                <c:f>Фигури!$P$18:$P$27</c:f>
                <c:numCache>
                  <c:formatCode>General</c:formatCode>
                  <c:ptCount val="10"/>
                  <c:pt idx="0">
                    <c:v>0</c:v>
                  </c:pt>
                  <c:pt idx="1">
                    <c:v>0</c:v>
                  </c:pt>
                  <c:pt idx="2">
                    <c:v>0</c:v>
                  </c:pt>
                  <c:pt idx="3">
                    <c:v>1.6666666666666667</c:v>
                  </c:pt>
                  <c:pt idx="4">
                    <c:v>1.6666666666666665</c:v>
                  </c:pt>
                  <c:pt idx="5">
                    <c:v>0</c:v>
                  </c:pt>
                  <c:pt idx="6">
                    <c:v>0</c:v>
                  </c:pt>
                  <c:pt idx="7">
                    <c:v>3.2456140350877196</c:v>
                  </c:pt>
                  <c:pt idx="8">
                    <c:v>2.8138622688325343</c:v>
                  </c:pt>
                  <c:pt idx="9">
                    <c:v>3.1979952178328777</c:v>
                  </c:pt>
                </c:numCache>
              </c:numRef>
            </c:plus>
            <c:minus>
              <c:numRef>
                <c:f>Фигури!$P$18:$P$27</c:f>
                <c:numCache>
                  <c:formatCode>General</c:formatCode>
                  <c:ptCount val="10"/>
                  <c:pt idx="0">
                    <c:v>0</c:v>
                  </c:pt>
                  <c:pt idx="1">
                    <c:v>0</c:v>
                  </c:pt>
                  <c:pt idx="2">
                    <c:v>0</c:v>
                  </c:pt>
                  <c:pt idx="3">
                    <c:v>1.6666666666666667</c:v>
                  </c:pt>
                  <c:pt idx="4">
                    <c:v>1.6666666666666665</c:v>
                  </c:pt>
                  <c:pt idx="5">
                    <c:v>0</c:v>
                  </c:pt>
                  <c:pt idx="6">
                    <c:v>0</c:v>
                  </c:pt>
                  <c:pt idx="7">
                    <c:v>3.2456140350877196</c:v>
                  </c:pt>
                  <c:pt idx="8">
                    <c:v>2.8138622688325343</c:v>
                  </c:pt>
                  <c:pt idx="9">
                    <c:v>3.1979952178328777</c:v>
                  </c:pt>
                </c:numCache>
              </c:numRef>
            </c:minus>
          </c:errBars>
          <c:cat>
            <c:numRef>
              <c:f>Фигури!$M$4:$M$13</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Фигури!$P$4:$P$13</c:f>
              <c:numCache>
                <c:formatCode>0.00</c:formatCode>
                <c:ptCount val="10"/>
                <c:pt idx="0">
                  <c:v>0</c:v>
                </c:pt>
                <c:pt idx="1">
                  <c:v>0</c:v>
                </c:pt>
                <c:pt idx="2">
                  <c:v>0</c:v>
                </c:pt>
                <c:pt idx="3">
                  <c:v>3.3333333333333335</c:v>
                </c:pt>
                <c:pt idx="4">
                  <c:v>8.3333333333333357</c:v>
                </c:pt>
                <c:pt idx="5">
                  <c:v>10</c:v>
                </c:pt>
                <c:pt idx="6">
                  <c:v>10</c:v>
                </c:pt>
                <c:pt idx="7">
                  <c:v>8.5087719298245599</c:v>
                </c:pt>
                <c:pt idx="8">
                  <c:v>10.263157894736842</c:v>
                </c:pt>
                <c:pt idx="9">
                  <c:v>8.6062378167641356</c:v>
                </c:pt>
              </c:numCache>
            </c:numRef>
          </c:val>
          <c:smooth val="0"/>
          <c:extLst>
            <c:ext xmlns:c16="http://schemas.microsoft.com/office/drawing/2014/chart" uri="{C3380CC4-5D6E-409C-BE32-E72D297353CC}">
              <c16:uniqueId val="{00000002-2B6F-4C9B-9336-27AEAC56B53E}"/>
            </c:ext>
          </c:extLst>
        </c:ser>
        <c:ser>
          <c:idx val="3"/>
          <c:order val="3"/>
          <c:tx>
            <c:strRef>
              <c:f>Фигури!$Q$3</c:f>
              <c:strCache>
                <c:ptCount val="1"/>
                <c:pt idx="0">
                  <c:v>0.01</c:v>
                </c:pt>
              </c:strCache>
            </c:strRef>
          </c:tx>
          <c:spPr>
            <a:ln>
              <a:solidFill>
                <a:srgbClr val="FFC000"/>
              </a:solidFill>
            </a:ln>
          </c:spPr>
          <c:marker>
            <c:symbol val="circle"/>
            <c:size val="7"/>
            <c:spPr>
              <a:solidFill>
                <a:srgbClr val="FFC000"/>
              </a:solidFill>
              <a:ln>
                <a:solidFill>
                  <a:srgbClr val="FFC000"/>
                </a:solidFill>
              </a:ln>
            </c:spPr>
          </c:marker>
          <c:errBars>
            <c:errDir val="y"/>
            <c:errBarType val="both"/>
            <c:errValType val="cust"/>
            <c:noEndCap val="0"/>
            <c:plus>
              <c:numRef>
                <c:f>Фигури!$Q$18:$Q$27</c:f>
                <c:numCache>
                  <c:formatCode>General</c:formatCode>
                  <c:ptCount val="10"/>
                  <c:pt idx="0">
                    <c:v>0</c:v>
                  </c:pt>
                  <c:pt idx="1">
                    <c:v>0</c:v>
                  </c:pt>
                  <c:pt idx="2">
                    <c:v>0</c:v>
                  </c:pt>
                  <c:pt idx="3">
                    <c:v>0</c:v>
                  </c:pt>
                  <c:pt idx="4">
                    <c:v>1.6666666666666667</c:v>
                  </c:pt>
                  <c:pt idx="5">
                    <c:v>1.6666666666666667</c:v>
                  </c:pt>
                  <c:pt idx="6">
                    <c:v>1.6666666666666667</c:v>
                  </c:pt>
                  <c:pt idx="7">
                    <c:v>3.0399514826602552</c:v>
                  </c:pt>
                  <c:pt idx="8">
                    <c:v>3.424424788761955</c:v>
                  </c:pt>
                  <c:pt idx="9">
                    <c:v>3.1979952178328777</c:v>
                  </c:pt>
                </c:numCache>
              </c:numRef>
            </c:plus>
            <c:minus>
              <c:numRef>
                <c:f>Фигури!$Q$18:$Q$27</c:f>
                <c:numCache>
                  <c:formatCode>General</c:formatCode>
                  <c:ptCount val="10"/>
                  <c:pt idx="0">
                    <c:v>0</c:v>
                  </c:pt>
                  <c:pt idx="1">
                    <c:v>0</c:v>
                  </c:pt>
                  <c:pt idx="2">
                    <c:v>0</c:v>
                  </c:pt>
                  <c:pt idx="3">
                    <c:v>0</c:v>
                  </c:pt>
                  <c:pt idx="4">
                    <c:v>1.6666666666666667</c:v>
                  </c:pt>
                  <c:pt idx="5">
                    <c:v>1.6666666666666667</c:v>
                  </c:pt>
                  <c:pt idx="6">
                    <c:v>1.6666666666666667</c:v>
                  </c:pt>
                  <c:pt idx="7">
                    <c:v>3.0399514826602552</c:v>
                  </c:pt>
                  <c:pt idx="8">
                    <c:v>3.424424788761955</c:v>
                  </c:pt>
                  <c:pt idx="9">
                    <c:v>3.1979952178328777</c:v>
                  </c:pt>
                </c:numCache>
              </c:numRef>
            </c:minus>
          </c:errBars>
          <c:cat>
            <c:numRef>
              <c:f>Фигури!$M$4:$M$13</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Фигури!$Q$4:$Q$13</c:f>
              <c:numCache>
                <c:formatCode>0.00</c:formatCode>
                <c:ptCount val="10"/>
                <c:pt idx="0">
                  <c:v>0</c:v>
                </c:pt>
                <c:pt idx="1">
                  <c:v>0</c:v>
                </c:pt>
                <c:pt idx="2">
                  <c:v>0</c:v>
                </c:pt>
                <c:pt idx="3">
                  <c:v>0</c:v>
                </c:pt>
                <c:pt idx="4">
                  <c:v>1.6666666666666667</c:v>
                </c:pt>
                <c:pt idx="5">
                  <c:v>3.3333333333333335</c:v>
                </c:pt>
                <c:pt idx="6">
                  <c:v>3.3333333333333335</c:v>
                </c:pt>
                <c:pt idx="7">
                  <c:v>5.1754385964912286</c:v>
                </c:pt>
                <c:pt idx="8">
                  <c:v>6.8421052631578938</c:v>
                </c:pt>
                <c:pt idx="9">
                  <c:v>8.6062378167641356</c:v>
                </c:pt>
              </c:numCache>
            </c:numRef>
          </c:val>
          <c:smooth val="0"/>
          <c:extLst>
            <c:ext xmlns:c16="http://schemas.microsoft.com/office/drawing/2014/chart" uri="{C3380CC4-5D6E-409C-BE32-E72D297353CC}">
              <c16:uniqueId val="{00000003-2B6F-4C9B-9336-27AEAC56B53E}"/>
            </c:ext>
          </c:extLst>
        </c:ser>
        <c:dLbls>
          <c:showLegendKey val="0"/>
          <c:showVal val="0"/>
          <c:showCatName val="0"/>
          <c:showSerName val="0"/>
          <c:showPercent val="0"/>
          <c:showBubbleSize val="0"/>
        </c:dLbls>
        <c:marker val="1"/>
        <c:smooth val="0"/>
        <c:axId val="40767488"/>
        <c:axId val="40769408"/>
      </c:lineChart>
      <c:catAx>
        <c:axId val="40767488"/>
        <c:scaling>
          <c:orientation val="minMax"/>
        </c:scaling>
        <c:delete val="0"/>
        <c:axPos val="b"/>
        <c:title>
          <c:tx>
            <c:rich>
              <a:bodyPr/>
              <a:lstStyle/>
              <a:p>
                <a:pPr>
                  <a:defRPr sz="1100" b="0"/>
                </a:pPr>
                <a:r>
                  <a:rPr lang="en-US" sz="1100" b="1" i="0" u="none" strike="noStrike" baseline="0"/>
                  <a:t>Days after treatment</a:t>
                </a:r>
                <a:endParaRPr lang="bg-BG" sz="1100" b="0"/>
              </a:p>
            </c:rich>
          </c:tx>
          <c:layout>
            <c:manualLayout>
              <c:xMode val="edge"/>
              <c:yMode val="edge"/>
              <c:x val="0.34719408096178062"/>
              <c:y val="0.89827236197245208"/>
            </c:manualLayout>
          </c:layout>
          <c:overlay val="0"/>
        </c:title>
        <c:numFmt formatCode="General" sourceLinked="1"/>
        <c:majorTickMark val="out"/>
        <c:minorTickMark val="none"/>
        <c:tickLblPos val="nextTo"/>
        <c:spPr>
          <a:ln w="15875">
            <a:solidFill>
              <a:schemeClr val="tx1"/>
            </a:solidFill>
          </a:ln>
        </c:spPr>
        <c:crossAx val="40769408"/>
        <c:crosses val="autoZero"/>
        <c:auto val="1"/>
        <c:lblAlgn val="ctr"/>
        <c:lblOffset val="100"/>
        <c:noMultiLvlLbl val="0"/>
      </c:catAx>
      <c:valAx>
        <c:axId val="40769408"/>
        <c:scaling>
          <c:orientation val="minMax"/>
          <c:max val="100"/>
          <c:min val="0"/>
        </c:scaling>
        <c:delete val="0"/>
        <c:axPos val="l"/>
        <c:title>
          <c:tx>
            <c:rich>
              <a:bodyPr rot="-5400000" vert="horz"/>
              <a:lstStyle/>
              <a:p>
                <a:pPr>
                  <a:defRPr sz="1100" b="1"/>
                </a:pPr>
                <a:r>
                  <a:rPr lang="en-US" sz="1100" b="1" i="0" baseline="0">
                    <a:effectLst/>
                  </a:rPr>
                  <a:t>Mean % corrected mortality</a:t>
                </a:r>
              </a:p>
              <a:p>
                <a:pPr>
                  <a:defRPr sz="1100" b="1"/>
                </a:pPr>
                <a:r>
                  <a:rPr lang="en-US" sz="1100" b="1" i="0" baseline="0">
                    <a:effectLst/>
                  </a:rPr>
                  <a:t>(± SE)</a:t>
                </a:r>
                <a:endParaRPr lang="en-US" sz="1100" b="1">
                  <a:effectLst/>
                </a:endParaRPr>
              </a:p>
            </c:rich>
          </c:tx>
          <c:layout>
            <c:manualLayout>
              <c:xMode val="edge"/>
              <c:yMode val="edge"/>
              <c:x val="3.9976073977219591E-2"/>
              <c:y val="4.7207309069154643E-2"/>
            </c:manualLayout>
          </c:layout>
          <c:overlay val="0"/>
        </c:title>
        <c:numFmt formatCode="0" sourceLinked="0"/>
        <c:majorTickMark val="out"/>
        <c:minorTickMark val="none"/>
        <c:tickLblPos val="nextTo"/>
        <c:spPr>
          <a:ln w="15875">
            <a:solidFill>
              <a:schemeClr val="tx1"/>
            </a:solidFill>
          </a:ln>
        </c:spPr>
        <c:crossAx val="40767488"/>
        <c:crosses val="autoZero"/>
        <c:crossBetween val="between"/>
        <c:majorUnit val="20"/>
      </c:valAx>
      <c:spPr>
        <a:noFill/>
        <a:ln>
          <a:noFill/>
        </a:ln>
      </c:spPr>
    </c:plotArea>
    <c:legend>
      <c:legendPos val="r"/>
      <c:layout>
        <c:manualLayout>
          <c:xMode val="edge"/>
          <c:yMode val="edge"/>
          <c:x val="0.83547700738034703"/>
          <c:y val="0.16995486183696074"/>
          <c:w val="0.164523076572238"/>
          <c:h val="0.45808977545662738"/>
        </c:manualLayout>
      </c:layout>
      <c:overlay val="0"/>
    </c:legend>
    <c:plotVisOnly val="1"/>
    <c:dispBlanksAs val="gap"/>
    <c:showDLblsOverMax val="0"/>
  </c:chart>
  <c:spPr>
    <a:noFill/>
    <a:ln w="6350">
      <a:solidFill>
        <a:sysClr val="window" lastClr="FFFFFF">
          <a:lumMod val="50000"/>
        </a:sysClr>
      </a:solidFill>
    </a:ln>
  </c:spPr>
  <c:txPr>
    <a:bodyPr/>
    <a:lstStyle/>
    <a:p>
      <a:pPr>
        <a:defRPr sz="1200">
          <a:latin typeface="Times New Roman" panose="02020603050405020304" pitchFamily="18" charset="0"/>
          <a:cs typeface="Times New Roman" panose="02020603050405020304" pitchFamily="18" charset="0"/>
        </a:defRPr>
      </a:pPr>
      <a:endParaRPr lang="en-US"/>
    </a:p>
  </c:txPr>
  <c:externalData r:id="rId2">
    <c:autoUpdate val="0"/>
  </c:externalData>
  <c:userShapes r:id="rId3"/>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1230108410361749"/>
          <c:y val="5.1400554097404488E-2"/>
          <c:w val="0.77736062992125965"/>
          <c:h val="0.68595275590551186"/>
        </c:manualLayout>
      </c:layout>
      <c:barChart>
        <c:barDir val="col"/>
        <c:grouping val="clustered"/>
        <c:varyColors val="0"/>
        <c:ser>
          <c:idx val="6"/>
          <c:order val="0"/>
          <c:spPr>
            <a:noFill/>
            <a:ln w="15875">
              <a:solidFill>
                <a:schemeClr val="tx1"/>
              </a:solidFill>
            </a:ln>
          </c:spPr>
          <c:invertIfNegative val="0"/>
          <c:cat>
            <c:strRef>
              <c:f>'data Diabrotica'!$C$5:$Q$5</c:f>
              <c:strCache>
                <c:ptCount val="15"/>
                <c:pt idx="0">
                  <c:v>05.06.</c:v>
                </c:pt>
                <c:pt idx="1">
                  <c:v>13.06.</c:v>
                </c:pt>
                <c:pt idx="2">
                  <c:v>24.06.</c:v>
                </c:pt>
                <c:pt idx="3">
                  <c:v>02.07.</c:v>
                </c:pt>
                <c:pt idx="4">
                  <c:v>08.07.</c:v>
                </c:pt>
                <c:pt idx="5">
                  <c:v>15.07.</c:v>
                </c:pt>
                <c:pt idx="6">
                  <c:v>22.07.</c:v>
                </c:pt>
                <c:pt idx="7">
                  <c:v>29.07.</c:v>
                </c:pt>
                <c:pt idx="8">
                  <c:v>05.08.</c:v>
                </c:pt>
                <c:pt idx="9">
                  <c:v>12.08.</c:v>
                </c:pt>
                <c:pt idx="10">
                  <c:v>19.08.</c:v>
                </c:pt>
                <c:pt idx="11">
                  <c:v>27.08.</c:v>
                </c:pt>
                <c:pt idx="12">
                  <c:v>02.09.</c:v>
                </c:pt>
                <c:pt idx="13">
                  <c:v>17.09.</c:v>
                </c:pt>
                <c:pt idx="14">
                  <c:v>23.09.</c:v>
                </c:pt>
              </c:strCache>
            </c:strRef>
          </c:cat>
          <c:val>
            <c:numRef>
              <c:f>'data Diabrotica'!$C$48:$Q$48</c:f>
              <c:numCache>
                <c:formatCode>General</c:formatCode>
                <c:ptCount val="15"/>
                <c:pt idx="1">
                  <c:v>0</c:v>
                </c:pt>
                <c:pt idx="2">
                  <c:v>0</c:v>
                </c:pt>
                <c:pt idx="3">
                  <c:v>0</c:v>
                </c:pt>
                <c:pt idx="4">
                  <c:v>0</c:v>
                </c:pt>
                <c:pt idx="5">
                  <c:v>0</c:v>
                </c:pt>
                <c:pt idx="6">
                  <c:v>0</c:v>
                </c:pt>
                <c:pt idx="7">
                  <c:v>7</c:v>
                </c:pt>
                <c:pt idx="8">
                  <c:v>2</c:v>
                </c:pt>
                <c:pt idx="9">
                  <c:v>2</c:v>
                </c:pt>
                <c:pt idx="10">
                  <c:v>1</c:v>
                </c:pt>
                <c:pt idx="11">
                  <c:v>7</c:v>
                </c:pt>
                <c:pt idx="12">
                  <c:v>1</c:v>
                </c:pt>
                <c:pt idx="13">
                  <c:v>1</c:v>
                </c:pt>
                <c:pt idx="14">
                  <c:v>0</c:v>
                </c:pt>
              </c:numCache>
            </c:numRef>
          </c:val>
          <c:extLst>
            <c:ext xmlns:c16="http://schemas.microsoft.com/office/drawing/2014/chart" uri="{C3380CC4-5D6E-409C-BE32-E72D297353CC}">
              <c16:uniqueId val="{00000000-7C69-443E-8F91-6E9DAC7846F2}"/>
            </c:ext>
          </c:extLst>
        </c:ser>
        <c:dLbls>
          <c:showLegendKey val="0"/>
          <c:showVal val="0"/>
          <c:showCatName val="0"/>
          <c:showSerName val="0"/>
          <c:showPercent val="0"/>
          <c:showBubbleSize val="0"/>
        </c:dLbls>
        <c:gapWidth val="150"/>
        <c:axId val="40788736"/>
        <c:axId val="40791040"/>
      </c:barChart>
      <c:lineChart>
        <c:grouping val="standard"/>
        <c:varyColors val="0"/>
        <c:ser>
          <c:idx val="0"/>
          <c:order val="1"/>
          <c:spPr>
            <a:ln w="15875">
              <a:solidFill>
                <a:sysClr val="windowText" lastClr="000000"/>
              </a:solidFill>
              <a:prstDash val="dash"/>
            </a:ln>
          </c:spPr>
          <c:marker>
            <c:symbol val="diamond"/>
            <c:size val="5"/>
            <c:spPr>
              <a:solidFill>
                <a:sysClr val="windowText" lastClr="000000">
                  <a:lumMod val="50000"/>
                  <a:lumOff val="50000"/>
                </a:sysClr>
              </a:solidFill>
              <a:ln>
                <a:solidFill>
                  <a:prstClr val="black"/>
                </a:solidFill>
              </a:ln>
            </c:spPr>
          </c:marker>
          <c:val>
            <c:numRef>
              <c:f>'data Diabrotica'!$C$49:$Q$49</c:f>
              <c:numCache>
                <c:formatCode>0.00</c:formatCode>
                <c:ptCount val="15"/>
                <c:pt idx="0">
                  <c:v>16.45</c:v>
                </c:pt>
                <c:pt idx="1">
                  <c:v>21.983333333333334</c:v>
                </c:pt>
                <c:pt idx="2">
                  <c:v>20.020833333333336</c:v>
                </c:pt>
                <c:pt idx="3">
                  <c:v>20.127777777777773</c:v>
                </c:pt>
                <c:pt idx="4">
                  <c:v>21.6</c:v>
                </c:pt>
                <c:pt idx="5">
                  <c:v>22.462499999999999</c:v>
                </c:pt>
                <c:pt idx="6">
                  <c:v>23.012500000000003</c:v>
                </c:pt>
                <c:pt idx="7">
                  <c:v>22.975000000000001</c:v>
                </c:pt>
                <c:pt idx="8">
                  <c:v>24.162499999999998</c:v>
                </c:pt>
                <c:pt idx="9">
                  <c:v>24.450000000000003</c:v>
                </c:pt>
                <c:pt idx="10">
                  <c:v>24.4375</c:v>
                </c:pt>
                <c:pt idx="11">
                  <c:v>23.12777777777778</c:v>
                </c:pt>
                <c:pt idx="12">
                  <c:v>20.842857142857145</c:v>
                </c:pt>
                <c:pt idx="13">
                  <c:v>20.065625000000001</c:v>
                </c:pt>
                <c:pt idx="14">
                  <c:v>17.649999999999999</c:v>
                </c:pt>
              </c:numCache>
            </c:numRef>
          </c:val>
          <c:smooth val="0"/>
          <c:extLst>
            <c:ext xmlns:c16="http://schemas.microsoft.com/office/drawing/2014/chart" uri="{C3380CC4-5D6E-409C-BE32-E72D297353CC}">
              <c16:uniqueId val="{00000001-7C69-443E-8F91-6E9DAC7846F2}"/>
            </c:ext>
          </c:extLst>
        </c:ser>
        <c:dLbls>
          <c:showLegendKey val="0"/>
          <c:showVal val="0"/>
          <c:showCatName val="0"/>
          <c:showSerName val="0"/>
          <c:showPercent val="0"/>
          <c:showBubbleSize val="0"/>
        </c:dLbls>
        <c:marker val="1"/>
        <c:smooth val="0"/>
        <c:axId val="40799232"/>
        <c:axId val="40797312"/>
      </c:lineChart>
      <c:catAx>
        <c:axId val="40788736"/>
        <c:scaling>
          <c:orientation val="minMax"/>
        </c:scaling>
        <c:delete val="0"/>
        <c:axPos val="b"/>
        <c:title>
          <c:tx>
            <c:rich>
              <a:bodyPr/>
              <a:lstStyle/>
              <a:p>
                <a:pPr>
                  <a:defRPr/>
                </a:pPr>
                <a:r>
                  <a:rPr lang="en-US"/>
                  <a:t>Date</a:t>
                </a:r>
              </a:p>
            </c:rich>
          </c:tx>
          <c:layout>
            <c:manualLayout>
              <c:xMode val="edge"/>
              <c:yMode val="edge"/>
              <c:x val="0.53112412230522466"/>
              <c:y val="0.91297567804024493"/>
            </c:manualLayout>
          </c:layout>
          <c:overlay val="0"/>
        </c:title>
        <c:numFmt formatCode="General" sourceLinked="0"/>
        <c:majorTickMark val="out"/>
        <c:minorTickMark val="none"/>
        <c:tickLblPos val="nextTo"/>
        <c:spPr>
          <a:ln>
            <a:solidFill>
              <a:schemeClr val="tx1"/>
            </a:solidFill>
          </a:ln>
        </c:spPr>
        <c:txPr>
          <a:bodyPr rot="-5400000" vert="horz"/>
          <a:lstStyle/>
          <a:p>
            <a:pPr>
              <a:defRPr/>
            </a:pPr>
            <a:endParaRPr lang="en-US"/>
          </a:p>
        </c:txPr>
        <c:crossAx val="40791040"/>
        <c:crosses val="autoZero"/>
        <c:auto val="1"/>
        <c:lblAlgn val="ctr"/>
        <c:lblOffset val="100"/>
        <c:noMultiLvlLbl val="0"/>
      </c:catAx>
      <c:valAx>
        <c:axId val="40791040"/>
        <c:scaling>
          <c:orientation val="minMax"/>
          <c:max val="10"/>
        </c:scaling>
        <c:delete val="0"/>
        <c:axPos val="l"/>
        <c:title>
          <c:tx>
            <c:rich>
              <a:bodyPr rot="-5400000" vert="horz"/>
              <a:lstStyle/>
              <a:p>
                <a:pPr>
                  <a:defRPr/>
                </a:pPr>
                <a:r>
                  <a:rPr lang="en-US" sz="1100" b="0" i="0" u="none" strike="noStrike" baseline="0"/>
                  <a:t>Total number of captured beetles</a:t>
                </a:r>
                <a:endParaRPr lang="en-US"/>
              </a:p>
            </c:rich>
          </c:tx>
          <c:layout>
            <c:manualLayout>
              <c:xMode val="edge"/>
              <c:yMode val="edge"/>
              <c:x val="1.3982426109779762E-3"/>
              <c:y val="6.9909230096237993E-2"/>
            </c:manualLayout>
          </c:layout>
          <c:overlay val="0"/>
        </c:title>
        <c:numFmt formatCode="General" sourceLinked="1"/>
        <c:majorTickMark val="out"/>
        <c:minorTickMark val="none"/>
        <c:tickLblPos val="nextTo"/>
        <c:spPr>
          <a:ln>
            <a:solidFill>
              <a:schemeClr val="tx1"/>
            </a:solidFill>
          </a:ln>
        </c:spPr>
        <c:crossAx val="40788736"/>
        <c:crosses val="autoZero"/>
        <c:crossBetween val="between"/>
        <c:majorUnit val="2"/>
        <c:minorUnit val="0.1"/>
      </c:valAx>
      <c:valAx>
        <c:axId val="40797312"/>
        <c:scaling>
          <c:orientation val="minMax"/>
        </c:scaling>
        <c:delete val="0"/>
        <c:axPos val="r"/>
        <c:title>
          <c:tx>
            <c:rich>
              <a:bodyPr rot="-5400000" vert="horz"/>
              <a:lstStyle/>
              <a:p>
                <a:pPr>
                  <a:defRPr sz="1100"/>
                </a:pPr>
                <a:r>
                  <a:rPr lang="en-US" sz="1100" b="0" i="0" u="none" strike="noStrike" baseline="0"/>
                  <a:t>Mean temperature, °C</a:t>
                </a:r>
                <a:endParaRPr lang="en-US" sz="1100" b="0" i="0" baseline="0"/>
              </a:p>
            </c:rich>
          </c:tx>
          <c:layout>
            <c:manualLayout>
              <c:xMode val="edge"/>
              <c:yMode val="edge"/>
              <c:x val="0.9403673688219667"/>
              <c:y val="0.1351352027863002"/>
            </c:manualLayout>
          </c:layout>
          <c:overlay val="0"/>
        </c:title>
        <c:numFmt formatCode="0" sourceLinked="0"/>
        <c:majorTickMark val="out"/>
        <c:minorTickMark val="none"/>
        <c:tickLblPos val="nextTo"/>
        <c:spPr>
          <a:ln>
            <a:solidFill>
              <a:sysClr val="windowText" lastClr="000000"/>
            </a:solidFill>
          </a:ln>
        </c:spPr>
        <c:crossAx val="40799232"/>
        <c:crosses val="max"/>
        <c:crossBetween val="between"/>
      </c:valAx>
      <c:catAx>
        <c:axId val="40799232"/>
        <c:scaling>
          <c:orientation val="minMax"/>
        </c:scaling>
        <c:delete val="1"/>
        <c:axPos val="b"/>
        <c:majorTickMark val="out"/>
        <c:minorTickMark val="none"/>
        <c:tickLblPos val="none"/>
        <c:crossAx val="40797312"/>
        <c:crosses val="autoZero"/>
        <c:auto val="1"/>
        <c:lblAlgn val="ctr"/>
        <c:lblOffset val="100"/>
        <c:noMultiLvlLbl val="0"/>
      </c:catAx>
      <c:spPr>
        <a:noFill/>
        <a:ln>
          <a:solidFill>
            <a:schemeClr val="tx1"/>
          </a:solidFill>
        </a:ln>
      </c:spPr>
    </c:plotArea>
    <c:plotVisOnly val="1"/>
    <c:dispBlanksAs val="gap"/>
    <c:showDLblsOverMax val="0"/>
  </c:chart>
  <c:spPr>
    <a:noFill/>
    <a:ln>
      <a:solidFill>
        <a:schemeClr val="tx1">
          <a:lumMod val="65000"/>
          <a:lumOff val="35000"/>
        </a:schemeClr>
      </a:solidFill>
    </a:ln>
  </c:spPr>
  <c:txPr>
    <a:bodyPr/>
    <a:lstStyle/>
    <a:p>
      <a:pPr>
        <a:defRPr sz="1100" b="0">
          <a:latin typeface="Times New Roman" pitchFamily="18" charset="0"/>
          <a:cs typeface="Times New Roman" pitchFamily="18" charset="0"/>
        </a:defRPr>
      </a:pPr>
      <a:endParaRPr lang="en-US"/>
    </a:p>
  </c:txPr>
  <c:externalData r:id="rId2">
    <c:autoUpdate val="0"/>
  </c:externalData>
  <c:userShapes r:id="rId3"/>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3293146182814106"/>
          <c:y val="4.4214785651793528E-2"/>
          <c:w val="0.84076412187606953"/>
          <c:h val="0.7533672790901137"/>
        </c:manualLayout>
      </c:layout>
      <c:barChart>
        <c:barDir val="col"/>
        <c:grouping val="clustered"/>
        <c:varyColors val="0"/>
        <c:ser>
          <c:idx val="0"/>
          <c:order val="0"/>
          <c:spPr>
            <a:solidFill>
              <a:srgbClr val="FFFFFF"/>
            </a:solidFill>
            <a:ln w="15875">
              <a:solidFill>
                <a:schemeClr val="tx1"/>
              </a:solidFill>
            </a:ln>
          </c:spPr>
          <c:invertIfNegative val="1"/>
          <c:dPt>
            <c:idx val="0"/>
            <c:invertIfNegative val="1"/>
            <c:bubble3D val="0"/>
            <c:spPr>
              <a:pattFill prst="pct5">
                <a:fgClr>
                  <a:sysClr val="windowText" lastClr="000000">
                    <a:lumMod val="50000"/>
                    <a:lumOff val="50000"/>
                  </a:sysClr>
                </a:fgClr>
                <a:bgClr>
                  <a:sysClr val="window" lastClr="FFFFFF"/>
                </a:bgClr>
              </a:pattFill>
              <a:ln w="15875">
                <a:solidFill>
                  <a:schemeClr val="tx1"/>
                </a:solidFill>
              </a:ln>
            </c:spPr>
            <c:extLst>
              <c:ext xmlns:c16="http://schemas.microsoft.com/office/drawing/2014/chart" uri="{C3380CC4-5D6E-409C-BE32-E72D297353CC}">
                <c16:uniqueId val="{00000001-1997-4C86-9281-9EE3F0A35A87}"/>
              </c:ext>
            </c:extLst>
          </c:dPt>
          <c:dPt>
            <c:idx val="1"/>
            <c:invertIfNegative val="1"/>
            <c:bubble3D val="0"/>
            <c:extLst>
              <c:ext xmlns:c16="http://schemas.microsoft.com/office/drawing/2014/chart" uri="{C3380CC4-5D6E-409C-BE32-E72D297353CC}">
                <c16:uniqueId val="{00000002-1997-4C86-9281-9EE3F0A35A87}"/>
              </c:ext>
            </c:extLst>
          </c:dPt>
          <c:dPt>
            <c:idx val="2"/>
            <c:invertIfNegative val="1"/>
            <c:bubble3D val="0"/>
            <c:spPr>
              <a:solidFill>
                <a:srgbClr val="0070C0"/>
              </a:solidFill>
              <a:ln w="15875">
                <a:solidFill>
                  <a:schemeClr val="tx1"/>
                </a:solidFill>
              </a:ln>
            </c:spPr>
            <c:extLst>
              <c:ext xmlns:c16="http://schemas.microsoft.com/office/drawing/2014/chart" uri="{C3380CC4-5D6E-409C-BE32-E72D297353CC}">
                <c16:uniqueId val="{00000004-1997-4C86-9281-9EE3F0A35A87}"/>
              </c:ext>
            </c:extLst>
          </c:dPt>
          <c:dPt>
            <c:idx val="3"/>
            <c:invertIfNegative val="1"/>
            <c:bubble3D val="0"/>
            <c:extLst>
              <c:ext xmlns:c16="http://schemas.microsoft.com/office/drawing/2014/chart" uri="{C3380CC4-5D6E-409C-BE32-E72D297353CC}">
                <c16:uniqueId val="{00000005-1997-4C86-9281-9EE3F0A35A87}"/>
              </c:ext>
            </c:extLst>
          </c:dPt>
          <c:dPt>
            <c:idx val="4"/>
            <c:invertIfNegative val="1"/>
            <c:bubble3D val="0"/>
            <c:spPr>
              <a:solidFill>
                <a:srgbClr val="F79646"/>
              </a:solidFill>
              <a:ln w="15875">
                <a:solidFill>
                  <a:schemeClr val="tx1"/>
                </a:solidFill>
              </a:ln>
            </c:spPr>
            <c:extLst>
              <c:ext xmlns:c16="http://schemas.microsoft.com/office/drawing/2014/chart" uri="{C3380CC4-5D6E-409C-BE32-E72D297353CC}">
                <c16:uniqueId val="{00000007-1997-4C86-9281-9EE3F0A35A87}"/>
              </c:ext>
            </c:extLst>
          </c:dPt>
          <c:dPt>
            <c:idx val="5"/>
            <c:invertIfNegative val="1"/>
            <c:bubble3D val="0"/>
            <c:spPr>
              <a:solidFill>
                <a:srgbClr val="FFFF00"/>
              </a:solidFill>
              <a:ln w="15875">
                <a:solidFill>
                  <a:schemeClr val="tx1"/>
                </a:solidFill>
              </a:ln>
            </c:spPr>
            <c:extLst>
              <c:ext xmlns:c16="http://schemas.microsoft.com/office/drawing/2014/chart" uri="{C3380CC4-5D6E-409C-BE32-E72D297353CC}">
                <c16:uniqueId val="{00000009-1997-4C86-9281-9EE3F0A35A87}"/>
              </c:ext>
            </c:extLst>
          </c:dPt>
          <c:dPt>
            <c:idx val="6"/>
            <c:invertIfNegative val="1"/>
            <c:bubble3D val="0"/>
            <c:spPr>
              <a:solidFill>
                <a:srgbClr val="CCFF99"/>
              </a:solidFill>
              <a:ln w="15875">
                <a:solidFill>
                  <a:schemeClr val="tx1"/>
                </a:solidFill>
              </a:ln>
            </c:spPr>
            <c:extLst>
              <c:ext xmlns:c16="http://schemas.microsoft.com/office/drawing/2014/chart" uri="{C3380CC4-5D6E-409C-BE32-E72D297353CC}">
                <c16:uniqueId val="{0000000B-1997-4C86-9281-9EE3F0A35A87}"/>
              </c:ext>
            </c:extLst>
          </c:dPt>
          <c:dLbls>
            <c:delete val="1"/>
          </c:dLbls>
          <c:errBars>
            <c:errBarType val="plus"/>
            <c:errValType val="cust"/>
            <c:noEndCap val="0"/>
            <c:plus>
              <c:numRef>
                <c:f>'D:\My Documents\Teodora\projects\Miklos\Cicadas\[Catches other 2014 Knezha -statistics.xlsx]Harmonia'!$L$8:$L$14</c:f>
                <c:numCache>
                  <c:formatCode>General</c:formatCode>
                  <c:ptCount val="7"/>
                  <c:pt idx="0">
                    <c:v>6.1031521801374375E-2</c:v>
                  </c:pt>
                  <c:pt idx="1">
                    <c:v>2.6465851167214387E-2</c:v>
                  </c:pt>
                  <c:pt idx="2">
                    <c:v>2.9377605714932791E-2</c:v>
                  </c:pt>
                  <c:pt idx="3">
                    <c:v>0</c:v>
                  </c:pt>
                  <c:pt idx="4">
                    <c:v>5.0735802907502119E-2</c:v>
                  </c:pt>
                  <c:pt idx="5">
                    <c:v>4.4398669826762868E-2</c:v>
                  </c:pt>
                  <c:pt idx="6">
                    <c:v>5.4354036166470464E-2</c:v>
                  </c:pt>
                </c:numCache>
              </c:numRef>
            </c:plus>
            <c:minus>
              <c:numLit>
                <c:formatCode>General</c:formatCode>
                <c:ptCount val="1"/>
                <c:pt idx="0">
                  <c:v>1</c:v>
                </c:pt>
              </c:numLit>
            </c:minus>
          </c:errBars>
          <c:cat>
            <c:strRef>
              <c:f>'Diabrotica stat'!$I$5:$I$11</c:f>
              <c:strCache>
                <c:ptCount val="7"/>
                <c:pt idx="0">
                  <c:v>transparent</c:v>
                </c:pt>
                <c:pt idx="1">
                  <c:v>white</c:v>
                </c:pt>
                <c:pt idx="2">
                  <c:v>blue</c:v>
                </c:pt>
                <c:pt idx="3">
                  <c:v>red</c:v>
                </c:pt>
                <c:pt idx="4">
                  <c:v>orange</c:v>
                </c:pt>
                <c:pt idx="5">
                  <c:v>yellow</c:v>
                </c:pt>
                <c:pt idx="6">
                  <c:v>fluorescent yellow</c:v>
                </c:pt>
              </c:strCache>
            </c:strRef>
          </c:cat>
          <c:val>
            <c:numRef>
              <c:f>'Diabrotica stat'!$J$5:$J$11</c:f>
              <c:numCache>
                <c:formatCode>0.00</c:formatCode>
                <c:ptCount val="7"/>
                <c:pt idx="0">
                  <c:v>4.7619047619047616E-2</c:v>
                </c:pt>
                <c:pt idx="1">
                  <c:v>7.1428571428571452E-2</c:v>
                </c:pt>
                <c:pt idx="2">
                  <c:v>4.7619047619047616E-2</c:v>
                </c:pt>
                <c:pt idx="3">
                  <c:v>0</c:v>
                </c:pt>
                <c:pt idx="4">
                  <c:v>9.5238095238095233E-2</c:v>
                </c:pt>
                <c:pt idx="5">
                  <c:v>7.1428571428571438E-2</c:v>
                </c:pt>
                <c:pt idx="6">
                  <c:v>0.16666666666666671</c:v>
                </c:pt>
              </c:numCache>
            </c:numRef>
          </c:val>
          <c:extLst>
            <c:ext xmlns:c14="http://schemas.microsoft.com/office/drawing/2007/8/2/chart" uri="{6F2FDCE9-48DA-4B69-8628-5D25D57E5C99}">
              <c14:invertSolidFillFmt>
                <c14:spPr xmlns:c14="http://schemas.microsoft.com/office/drawing/2007/8/2/chart">
                  <a:solidFill>
                    <a:srgbClr val="FFFFFF"/>
                  </a:solidFill>
                  <a:ln w="15875">
                    <a:solidFill>
                      <a:schemeClr val="tx1"/>
                    </a:solidFill>
                  </a:ln>
                </c14:spPr>
              </c14:invertSolidFillFmt>
            </c:ext>
            <c:ext xmlns:c16="http://schemas.microsoft.com/office/drawing/2014/chart" uri="{C3380CC4-5D6E-409C-BE32-E72D297353CC}">
              <c16:uniqueId val="{0000000C-1997-4C86-9281-9EE3F0A35A87}"/>
            </c:ext>
          </c:extLst>
        </c:ser>
        <c:dLbls>
          <c:showLegendKey val="0"/>
          <c:showVal val="1"/>
          <c:showCatName val="0"/>
          <c:showSerName val="0"/>
          <c:showPercent val="0"/>
          <c:showBubbleSize val="0"/>
        </c:dLbls>
        <c:gapWidth val="150"/>
        <c:axId val="40826368"/>
        <c:axId val="40828288"/>
      </c:barChart>
      <c:catAx>
        <c:axId val="40826368"/>
        <c:scaling>
          <c:orientation val="minMax"/>
        </c:scaling>
        <c:delete val="0"/>
        <c:axPos val="b"/>
        <c:title>
          <c:tx>
            <c:rich>
              <a:bodyPr/>
              <a:lstStyle/>
              <a:p>
                <a:pPr>
                  <a:defRPr/>
                </a:pPr>
                <a:r>
                  <a:rPr lang="en-US" sz="1100" b="0" i="0" u="none" strike="noStrike" baseline="0"/>
                  <a:t>Trap colour</a:t>
                </a:r>
                <a:endParaRPr lang="en-US"/>
              </a:p>
            </c:rich>
          </c:tx>
          <c:layout>
            <c:manualLayout>
              <c:xMode val="edge"/>
              <c:yMode val="edge"/>
              <c:x val="0.42015474152687438"/>
              <c:y val="0.91550751742908287"/>
            </c:manualLayout>
          </c:layout>
          <c:overlay val="0"/>
        </c:title>
        <c:numFmt formatCode="General" sourceLinked="0"/>
        <c:majorTickMark val="out"/>
        <c:minorTickMark val="none"/>
        <c:tickLblPos val="nextTo"/>
        <c:spPr>
          <a:ln>
            <a:solidFill>
              <a:schemeClr val="tx1"/>
            </a:solidFill>
          </a:ln>
        </c:spPr>
        <c:txPr>
          <a:bodyPr rot="0" vert="horz"/>
          <a:lstStyle/>
          <a:p>
            <a:pPr>
              <a:defRPr/>
            </a:pPr>
            <a:endParaRPr lang="en-US"/>
          </a:p>
        </c:txPr>
        <c:crossAx val="40828288"/>
        <c:crosses val="autoZero"/>
        <c:auto val="1"/>
        <c:lblAlgn val="ctr"/>
        <c:lblOffset val="150"/>
        <c:noMultiLvlLbl val="0"/>
      </c:catAx>
      <c:valAx>
        <c:axId val="40828288"/>
        <c:scaling>
          <c:orientation val="minMax"/>
          <c:max val="0.4"/>
        </c:scaling>
        <c:delete val="0"/>
        <c:axPos val="l"/>
        <c:title>
          <c:tx>
            <c:rich>
              <a:bodyPr rot="-5400000" vert="horz"/>
              <a:lstStyle/>
              <a:p>
                <a:pPr>
                  <a:defRPr/>
                </a:pPr>
                <a:r>
                  <a:rPr lang="en-US" sz="1100" b="0" i="0" u="none" strike="noStrike" baseline="0"/>
                  <a:t>Mean number /trap/assessment (± SE)</a:t>
                </a:r>
                <a:endParaRPr lang="en-US"/>
              </a:p>
            </c:rich>
          </c:tx>
          <c:layout>
            <c:manualLayout>
              <c:xMode val="edge"/>
              <c:yMode val="edge"/>
              <c:x val="9.3703069724980145E-4"/>
              <c:y val="4.1656824146981658E-2"/>
            </c:manualLayout>
          </c:layout>
          <c:overlay val="0"/>
        </c:title>
        <c:numFmt formatCode="0.0" sourceLinked="0"/>
        <c:majorTickMark val="out"/>
        <c:minorTickMark val="none"/>
        <c:tickLblPos val="nextTo"/>
        <c:spPr>
          <a:ln>
            <a:solidFill>
              <a:schemeClr val="tx1"/>
            </a:solidFill>
          </a:ln>
        </c:spPr>
        <c:crossAx val="40826368"/>
        <c:crosses val="autoZero"/>
        <c:crossBetween val="between"/>
        <c:minorUnit val="0.1"/>
      </c:valAx>
      <c:spPr>
        <a:noFill/>
        <a:ln>
          <a:solidFill>
            <a:schemeClr val="tx1"/>
          </a:solidFill>
        </a:ln>
      </c:spPr>
    </c:plotArea>
    <c:plotVisOnly val="1"/>
    <c:dispBlanksAs val="gap"/>
    <c:showDLblsOverMax val="0"/>
  </c:chart>
  <c:spPr>
    <a:noFill/>
    <a:ln>
      <a:solidFill>
        <a:schemeClr val="tx1">
          <a:lumMod val="65000"/>
          <a:lumOff val="35000"/>
        </a:schemeClr>
      </a:solidFill>
    </a:ln>
  </c:spPr>
  <c:txPr>
    <a:bodyPr/>
    <a:lstStyle/>
    <a:p>
      <a:pPr>
        <a:defRPr sz="1100" b="0">
          <a:latin typeface="Times New Roman" pitchFamily="18" charset="0"/>
          <a:cs typeface="Times New Roman" pitchFamily="18" charset="0"/>
        </a:defRPr>
      </a:pPr>
      <a:endParaRPr lang="en-US"/>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983494388536648"/>
          <c:y val="6.8167816452178426E-2"/>
          <c:w val="0.79295896248263087"/>
          <c:h val="0.67656874621441554"/>
        </c:manualLayout>
      </c:layout>
      <c:barChart>
        <c:barDir val="col"/>
        <c:grouping val="clustered"/>
        <c:varyColors val="0"/>
        <c:ser>
          <c:idx val="0"/>
          <c:order val="0"/>
          <c:tx>
            <c:v>mean number</c:v>
          </c:tx>
          <c:spPr>
            <a:noFill/>
            <a:ln>
              <a:solidFill>
                <a:schemeClr val="tx1"/>
              </a:solidFill>
            </a:ln>
          </c:spPr>
          <c:invertIfNegative val="0"/>
          <c:errBars>
            <c:errBarType val="plus"/>
            <c:errValType val="cust"/>
            <c:noEndCap val="0"/>
            <c:plus>
              <c:numRef>
                <c:f>'G:\Miklos\Diabrotica\[Diabrotica Knezha 2015.xlsx]data'!$C$16:$P$16</c:f>
                <c:numCache>
                  <c:formatCode>General</c:formatCode>
                  <c:ptCount val="14"/>
                  <c:pt idx="1">
                    <c:v>0</c:v>
                  </c:pt>
                  <c:pt idx="2">
                    <c:v>0</c:v>
                  </c:pt>
                  <c:pt idx="3">
                    <c:v>0</c:v>
                  </c:pt>
                  <c:pt idx="4">
                    <c:v>0</c:v>
                  </c:pt>
                  <c:pt idx="5">
                    <c:v>0</c:v>
                  </c:pt>
                  <c:pt idx="6">
                    <c:v>0</c:v>
                  </c:pt>
                  <c:pt idx="7">
                    <c:v>0.28284271247461923</c:v>
                  </c:pt>
                  <c:pt idx="8">
                    <c:v>0.7266360849833986</c:v>
                  </c:pt>
                  <c:pt idx="9">
                    <c:v>0.45607017003965566</c:v>
                  </c:pt>
                  <c:pt idx="10">
                    <c:v>0.28284271247461923</c:v>
                  </c:pt>
                  <c:pt idx="11">
                    <c:v>0.33466401061363066</c:v>
                  </c:pt>
                  <c:pt idx="12">
                    <c:v>0.92086915465770702</c:v>
                  </c:pt>
                  <c:pt idx="13">
                    <c:v>0</c:v>
                  </c:pt>
                </c:numCache>
              </c:numRef>
            </c:plus>
            <c:minus>
              <c:numLit>
                <c:formatCode>General</c:formatCode>
                <c:ptCount val="1"/>
                <c:pt idx="0">
                  <c:v>1</c:v>
                </c:pt>
              </c:numLit>
            </c:minus>
          </c:errBars>
          <c:cat>
            <c:strRef>
              <c:f>'Knezha 2015'!$C$5:$V$5</c:f>
              <c:strCache>
                <c:ptCount val="20"/>
                <c:pt idx="0">
                  <c:v>17.06.</c:v>
                </c:pt>
                <c:pt idx="1">
                  <c:v>24.06.</c:v>
                </c:pt>
                <c:pt idx="2">
                  <c:v>01.07.</c:v>
                </c:pt>
                <c:pt idx="3">
                  <c:v>08.07.</c:v>
                </c:pt>
                <c:pt idx="4">
                  <c:v>15.07.</c:v>
                </c:pt>
                <c:pt idx="5">
                  <c:v>21.07.</c:v>
                </c:pt>
                <c:pt idx="6">
                  <c:v>22.07.</c:v>
                </c:pt>
                <c:pt idx="7">
                  <c:v>24.07.</c:v>
                </c:pt>
                <c:pt idx="8">
                  <c:v>29.07.</c:v>
                </c:pt>
                <c:pt idx="9">
                  <c:v>31.07.</c:v>
                </c:pt>
                <c:pt idx="10">
                  <c:v>03.08.</c:v>
                </c:pt>
                <c:pt idx="11">
                  <c:v>05.08.</c:v>
                </c:pt>
                <c:pt idx="12">
                  <c:v>12.08.</c:v>
                </c:pt>
                <c:pt idx="13">
                  <c:v>19.08.</c:v>
                </c:pt>
                <c:pt idx="14">
                  <c:v>26.08.</c:v>
                </c:pt>
                <c:pt idx="15">
                  <c:v>02.09.</c:v>
                </c:pt>
                <c:pt idx="16">
                  <c:v>09.09.</c:v>
                </c:pt>
                <c:pt idx="17">
                  <c:v>16.09.</c:v>
                </c:pt>
                <c:pt idx="18">
                  <c:v>23.09.</c:v>
                </c:pt>
                <c:pt idx="19">
                  <c:v>30.09.</c:v>
                </c:pt>
              </c:strCache>
            </c:strRef>
          </c:cat>
          <c:val>
            <c:numRef>
              <c:f>'Knezha 2015'!$C$14:$V$14</c:f>
              <c:numCache>
                <c:formatCode>General</c:formatCode>
                <c:ptCount val="20"/>
                <c:pt idx="1">
                  <c:v>0</c:v>
                </c:pt>
                <c:pt idx="2">
                  <c:v>0</c:v>
                </c:pt>
                <c:pt idx="3">
                  <c:v>0</c:v>
                </c:pt>
                <c:pt idx="4">
                  <c:v>0</c:v>
                </c:pt>
                <c:pt idx="5">
                  <c:v>0</c:v>
                </c:pt>
                <c:pt idx="6">
                  <c:v>0</c:v>
                </c:pt>
                <c:pt idx="7" formatCode="0.00">
                  <c:v>2</c:v>
                </c:pt>
                <c:pt idx="8" formatCode="0.00">
                  <c:v>5.6</c:v>
                </c:pt>
                <c:pt idx="9" formatCode="0.00">
                  <c:v>1.4</c:v>
                </c:pt>
                <c:pt idx="10" formatCode="0.00">
                  <c:v>2</c:v>
                </c:pt>
                <c:pt idx="11" formatCode="0.00">
                  <c:v>2.2000000000000002</c:v>
                </c:pt>
                <c:pt idx="12" formatCode="0.00">
                  <c:v>2.4</c:v>
                </c:pt>
                <c:pt idx="13">
                  <c:v>0</c:v>
                </c:pt>
                <c:pt idx="14">
                  <c:v>0</c:v>
                </c:pt>
                <c:pt idx="15">
                  <c:v>0</c:v>
                </c:pt>
                <c:pt idx="16">
                  <c:v>0</c:v>
                </c:pt>
                <c:pt idx="17">
                  <c:v>0</c:v>
                </c:pt>
                <c:pt idx="18">
                  <c:v>0</c:v>
                </c:pt>
                <c:pt idx="19">
                  <c:v>0</c:v>
                </c:pt>
              </c:numCache>
            </c:numRef>
          </c:val>
          <c:extLst>
            <c:ext xmlns:c16="http://schemas.microsoft.com/office/drawing/2014/chart" uri="{C3380CC4-5D6E-409C-BE32-E72D297353CC}">
              <c16:uniqueId val="{00000000-CEED-4DA6-98C4-549DAC65B79D}"/>
            </c:ext>
          </c:extLst>
        </c:ser>
        <c:dLbls>
          <c:showLegendKey val="0"/>
          <c:showVal val="0"/>
          <c:showCatName val="0"/>
          <c:showSerName val="0"/>
          <c:showPercent val="0"/>
          <c:showBubbleSize val="0"/>
        </c:dLbls>
        <c:gapWidth val="150"/>
        <c:axId val="40873984"/>
        <c:axId val="40875904"/>
      </c:barChart>
      <c:catAx>
        <c:axId val="40873984"/>
        <c:scaling>
          <c:orientation val="minMax"/>
        </c:scaling>
        <c:delete val="0"/>
        <c:axPos val="b"/>
        <c:title>
          <c:tx>
            <c:rich>
              <a:bodyPr/>
              <a:lstStyle/>
              <a:p>
                <a:pPr>
                  <a:defRPr b="1"/>
                </a:pPr>
                <a:r>
                  <a:rPr lang="en-US" b="1"/>
                  <a:t>Date</a:t>
                </a:r>
              </a:p>
            </c:rich>
          </c:tx>
          <c:layout>
            <c:manualLayout>
              <c:xMode val="edge"/>
              <c:yMode val="edge"/>
              <c:x val="0.47691983122362991"/>
              <c:y val="0.92816089631928644"/>
            </c:manualLayout>
          </c:layout>
          <c:overlay val="0"/>
        </c:title>
        <c:numFmt formatCode="General" sourceLinked="0"/>
        <c:majorTickMark val="out"/>
        <c:minorTickMark val="none"/>
        <c:tickLblPos val="nextTo"/>
        <c:spPr>
          <a:ln>
            <a:solidFill>
              <a:schemeClr val="tx1"/>
            </a:solidFill>
          </a:ln>
        </c:spPr>
        <c:txPr>
          <a:bodyPr rot="-5400000" vert="horz"/>
          <a:lstStyle/>
          <a:p>
            <a:pPr>
              <a:defRPr/>
            </a:pPr>
            <a:endParaRPr lang="en-US"/>
          </a:p>
        </c:txPr>
        <c:crossAx val="40875904"/>
        <c:crosses val="autoZero"/>
        <c:auto val="1"/>
        <c:lblAlgn val="ctr"/>
        <c:lblOffset val="100"/>
        <c:noMultiLvlLbl val="0"/>
      </c:catAx>
      <c:valAx>
        <c:axId val="40875904"/>
        <c:scaling>
          <c:orientation val="minMax"/>
          <c:max val="10"/>
        </c:scaling>
        <c:delete val="0"/>
        <c:axPos val="l"/>
        <c:title>
          <c:tx>
            <c:rich>
              <a:bodyPr rot="-5400000" vert="horz"/>
              <a:lstStyle/>
              <a:p>
                <a:pPr>
                  <a:defRPr b="1"/>
                </a:pPr>
                <a:r>
                  <a:rPr lang="en-US" sz="1100" b="1" i="0" u="none" strike="noStrike" baseline="0"/>
                  <a:t>Mean number/trap/inspection</a:t>
                </a:r>
              </a:p>
              <a:p>
                <a:pPr>
                  <a:defRPr b="1"/>
                </a:pPr>
                <a:r>
                  <a:rPr lang="en-US" sz="1100" b="1" i="0" u="none" strike="noStrike" baseline="0">
                    <a:effectLst/>
                  </a:rPr>
                  <a:t>(± SE)</a:t>
                </a:r>
                <a:endParaRPr lang="en-US" b="1"/>
              </a:p>
            </c:rich>
          </c:tx>
          <c:layout>
            <c:manualLayout>
              <c:xMode val="edge"/>
              <c:yMode val="edge"/>
              <c:x val="1.2688001495405976E-2"/>
              <c:y val="0.13511114141035402"/>
            </c:manualLayout>
          </c:layout>
          <c:overlay val="0"/>
        </c:title>
        <c:numFmt formatCode="General" sourceLinked="1"/>
        <c:majorTickMark val="out"/>
        <c:minorTickMark val="none"/>
        <c:tickLblPos val="nextTo"/>
        <c:spPr>
          <a:ln>
            <a:solidFill>
              <a:schemeClr val="tx1"/>
            </a:solidFill>
          </a:ln>
        </c:spPr>
        <c:crossAx val="40873984"/>
        <c:crosses val="autoZero"/>
        <c:crossBetween val="between"/>
        <c:majorUnit val="2"/>
        <c:minorUnit val="0.2"/>
      </c:valAx>
      <c:spPr>
        <a:noFill/>
        <a:ln>
          <a:solidFill>
            <a:schemeClr val="tx1"/>
          </a:solidFill>
        </a:ln>
      </c:spPr>
    </c:plotArea>
    <c:plotVisOnly val="1"/>
    <c:dispBlanksAs val="gap"/>
    <c:showDLblsOverMax val="0"/>
  </c:chart>
  <c:spPr>
    <a:noFill/>
    <a:ln>
      <a:solidFill>
        <a:schemeClr val="tx1">
          <a:lumMod val="65000"/>
          <a:lumOff val="35000"/>
        </a:schemeClr>
      </a:solidFill>
    </a:ln>
  </c:spPr>
  <c:txPr>
    <a:bodyPr/>
    <a:lstStyle/>
    <a:p>
      <a:pPr>
        <a:defRPr sz="1100" b="0">
          <a:latin typeface="Times New Roman" pitchFamily="18" charset="0"/>
          <a:cs typeface="Times New Roman" pitchFamily="18" charset="0"/>
        </a:defRPr>
      </a:pPr>
      <a:endParaRPr lang="en-US"/>
    </a:p>
  </c:txPr>
  <c:externalData r:id="rId2">
    <c:autoUpdate val="0"/>
  </c:externalData>
  <c:userShapes r:id="rId3"/>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927330881828645"/>
          <c:y val="0.11069040206948348"/>
          <c:w val="0.80706771653543308"/>
          <c:h val="0.67810715840708347"/>
        </c:manualLayout>
      </c:layout>
      <c:barChart>
        <c:barDir val="col"/>
        <c:grouping val="clustered"/>
        <c:varyColors val="0"/>
        <c:ser>
          <c:idx val="0"/>
          <c:order val="0"/>
          <c:tx>
            <c:v>mean number</c:v>
          </c:tx>
          <c:spPr>
            <a:noFill/>
            <a:ln>
              <a:solidFill>
                <a:schemeClr val="tx1"/>
              </a:solidFill>
            </a:ln>
          </c:spPr>
          <c:invertIfNegative val="0"/>
          <c:errBars>
            <c:errBarType val="plus"/>
            <c:errValType val="cust"/>
            <c:noEndCap val="0"/>
            <c:plus>
              <c:numRef>
                <c:f>'Knezha 2016'!$C$26:$W$26</c:f>
                <c:numCache>
                  <c:formatCode>General</c:formatCode>
                  <c:ptCount val="21"/>
                  <c:pt idx="1">
                    <c:v>0</c:v>
                  </c:pt>
                  <c:pt idx="2">
                    <c:v>0</c:v>
                  </c:pt>
                  <c:pt idx="3">
                    <c:v>14.770240350109404</c:v>
                  </c:pt>
                  <c:pt idx="4">
                    <c:v>18.768057970924961</c:v>
                  </c:pt>
                  <c:pt idx="5">
                    <c:v>27.576439219014475</c:v>
                  </c:pt>
                  <c:pt idx="6">
                    <c:v>54.67778342251998</c:v>
                  </c:pt>
                  <c:pt idx="7">
                    <c:v>20.972839578845779</c:v>
                  </c:pt>
                  <c:pt idx="8">
                    <c:v>65.905690194398233</c:v>
                  </c:pt>
                  <c:pt idx="9">
                    <c:v>15.396752904427608</c:v>
                  </c:pt>
                  <c:pt idx="10">
                    <c:v>7.2636079189339506</c:v>
                  </c:pt>
                  <c:pt idx="11">
                    <c:v>11.344602240713423</c:v>
                  </c:pt>
                  <c:pt idx="12">
                    <c:v>8.7097646351666693</c:v>
                  </c:pt>
                  <c:pt idx="13">
                    <c:v>3.1874754901018458</c:v>
                  </c:pt>
                  <c:pt idx="14">
                    <c:v>1.9646882704388502</c:v>
                  </c:pt>
                  <c:pt idx="15">
                    <c:v>0.96953597148326576</c:v>
                  </c:pt>
                  <c:pt idx="16">
                    <c:v>0.24494897427831777</c:v>
                  </c:pt>
                  <c:pt idx="17">
                    <c:v>0</c:v>
                  </c:pt>
                  <c:pt idx="18">
                    <c:v>0</c:v>
                  </c:pt>
                  <c:pt idx="19">
                    <c:v>0</c:v>
                  </c:pt>
                  <c:pt idx="20">
                    <c:v>0</c:v>
                  </c:pt>
                </c:numCache>
              </c:numRef>
            </c:plus>
            <c:minus>
              <c:numLit>
                <c:formatCode>General</c:formatCode>
                <c:ptCount val="1"/>
                <c:pt idx="0">
                  <c:v>1</c:v>
                </c:pt>
              </c:numLit>
            </c:minus>
          </c:errBars>
          <c:cat>
            <c:strRef>
              <c:f>'Knezha 2016'!$C$16:$W$16</c:f>
              <c:strCache>
                <c:ptCount val="21"/>
                <c:pt idx="0">
                  <c:v>12.07.</c:v>
                </c:pt>
                <c:pt idx="1">
                  <c:v>19.07.</c:v>
                </c:pt>
                <c:pt idx="2">
                  <c:v>23.07.</c:v>
                </c:pt>
                <c:pt idx="3">
                  <c:v>25.07.</c:v>
                </c:pt>
                <c:pt idx="4">
                  <c:v>27.07.</c:v>
                </c:pt>
                <c:pt idx="5">
                  <c:v>29.07.</c:v>
                </c:pt>
                <c:pt idx="6">
                  <c:v>01.08.</c:v>
                </c:pt>
                <c:pt idx="7">
                  <c:v>03.08.</c:v>
                </c:pt>
                <c:pt idx="8">
                  <c:v>08.08.</c:v>
                </c:pt>
                <c:pt idx="9">
                  <c:v>10.08.</c:v>
                </c:pt>
                <c:pt idx="10">
                  <c:v>16.08.</c:v>
                </c:pt>
                <c:pt idx="11">
                  <c:v>17.08.</c:v>
                </c:pt>
                <c:pt idx="12">
                  <c:v>19.08.</c:v>
                </c:pt>
                <c:pt idx="13">
                  <c:v>23.08.</c:v>
                </c:pt>
                <c:pt idx="14">
                  <c:v>26.08.</c:v>
                </c:pt>
                <c:pt idx="15">
                  <c:v>30.08.</c:v>
                </c:pt>
                <c:pt idx="16">
                  <c:v>07.09.</c:v>
                </c:pt>
                <c:pt idx="17">
                  <c:v>14.09.</c:v>
                </c:pt>
                <c:pt idx="18">
                  <c:v>19.09.</c:v>
                </c:pt>
                <c:pt idx="19">
                  <c:v>26.09.</c:v>
                </c:pt>
                <c:pt idx="20">
                  <c:v>28.09.</c:v>
                </c:pt>
              </c:strCache>
            </c:strRef>
          </c:cat>
          <c:val>
            <c:numRef>
              <c:f>'Knezha 2016'!$C$18:$W$18</c:f>
              <c:numCache>
                <c:formatCode>General</c:formatCode>
                <c:ptCount val="21"/>
                <c:pt idx="1">
                  <c:v>0</c:v>
                </c:pt>
                <c:pt idx="2">
                  <c:v>0</c:v>
                </c:pt>
                <c:pt idx="3">
                  <c:v>62.6</c:v>
                </c:pt>
                <c:pt idx="4">
                  <c:v>62.8</c:v>
                </c:pt>
                <c:pt idx="5">
                  <c:v>124.4</c:v>
                </c:pt>
                <c:pt idx="6">
                  <c:v>260.39999999999998</c:v>
                </c:pt>
                <c:pt idx="7">
                  <c:v>58.6</c:v>
                </c:pt>
                <c:pt idx="8">
                  <c:v>180.6</c:v>
                </c:pt>
                <c:pt idx="9">
                  <c:v>42.4</c:v>
                </c:pt>
                <c:pt idx="10">
                  <c:v>20.399999999999999</c:v>
                </c:pt>
                <c:pt idx="11">
                  <c:v>52</c:v>
                </c:pt>
                <c:pt idx="12">
                  <c:v>39.4</c:v>
                </c:pt>
                <c:pt idx="13">
                  <c:v>10.4</c:v>
                </c:pt>
                <c:pt idx="14">
                  <c:v>4.4000000000000004</c:v>
                </c:pt>
                <c:pt idx="15">
                  <c:v>2.2000000000000002</c:v>
                </c:pt>
                <c:pt idx="16">
                  <c:v>0.4</c:v>
                </c:pt>
                <c:pt idx="17">
                  <c:v>0</c:v>
                </c:pt>
                <c:pt idx="18">
                  <c:v>0</c:v>
                </c:pt>
                <c:pt idx="19">
                  <c:v>0</c:v>
                </c:pt>
                <c:pt idx="20">
                  <c:v>0</c:v>
                </c:pt>
              </c:numCache>
            </c:numRef>
          </c:val>
          <c:extLst>
            <c:ext xmlns:c16="http://schemas.microsoft.com/office/drawing/2014/chart" uri="{C3380CC4-5D6E-409C-BE32-E72D297353CC}">
              <c16:uniqueId val="{00000000-8D2F-47CA-AB2A-54E878639CBE}"/>
            </c:ext>
          </c:extLst>
        </c:ser>
        <c:dLbls>
          <c:showLegendKey val="0"/>
          <c:showVal val="0"/>
          <c:showCatName val="0"/>
          <c:showSerName val="0"/>
          <c:showPercent val="0"/>
          <c:showBubbleSize val="0"/>
        </c:dLbls>
        <c:gapWidth val="150"/>
        <c:axId val="40907520"/>
        <c:axId val="40909440"/>
      </c:barChart>
      <c:catAx>
        <c:axId val="40907520"/>
        <c:scaling>
          <c:orientation val="minMax"/>
        </c:scaling>
        <c:delete val="0"/>
        <c:axPos val="b"/>
        <c:title>
          <c:tx>
            <c:rich>
              <a:bodyPr/>
              <a:lstStyle/>
              <a:p>
                <a:pPr>
                  <a:defRPr b="1"/>
                </a:pPr>
                <a:r>
                  <a:rPr lang="en-US" b="1"/>
                  <a:t>Date</a:t>
                </a:r>
              </a:p>
            </c:rich>
          </c:tx>
          <c:layout>
            <c:manualLayout>
              <c:xMode val="edge"/>
              <c:yMode val="edge"/>
              <c:x val="0.47923141888817256"/>
              <c:y val="0.93218536102104799"/>
            </c:manualLayout>
          </c:layout>
          <c:overlay val="0"/>
        </c:title>
        <c:numFmt formatCode="General" sourceLinked="0"/>
        <c:majorTickMark val="out"/>
        <c:minorTickMark val="none"/>
        <c:tickLblPos val="nextTo"/>
        <c:spPr>
          <a:ln>
            <a:solidFill>
              <a:schemeClr val="tx1"/>
            </a:solidFill>
          </a:ln>
        </c:spPr>
        <c:txPr>
          <a:bodyPr rot="-5400000" vert="horz"/>
          <a:lstStyle/>
          <a:p>
            <a:pPr>
              <a:defRPr/>
            </a:pPr>
            <a:endParaRPr lang="en-US"/>
          </a:p>
        </c:txPr>
        <c:crossAx val="40909440"/>
        <c:crosses val="autoZero"/>
        <c:auto val="1"/>
        <c:lblAlgn val="ctr"/>
        <c:lblOffset val="100"/>
        <c:noMultiLvlLbl val="0"/>
      </c:catAx>
      <c:valAx>
        <c:axId val="40909440"/>
        <c:scaling>
          <c:orientation val="minMax"/>
          <c:max val="400"/>
        </c:scaling>
        <c:delete val="0"/>
        <c:axPos val="l"/>
        <c:title>
          <c:tx>
            <c:rich>
              <a:bodyPr rot="-5400000" vert="horz"/>
              <a:lstStyle/>
              <a:p>
                <a:pPr marL="0" marR="0" indent="0" algn="ctr" defTabSz="914400" rtl="0" eaLnBrk="1" fontAlgn="auto" latinLnBrk="0" hangingPunct="1">
                  <a:lnSpc>
                    <a:spcPct val="100000"/>
                  </a:lnSpc>
                  <a:spcBef>
                    <a:spcPts val="0"/>
                  </a:spcBef>
                  <a:spcAft>
                    <a:spcPts val="0"/>
                  </a:spcAft>
                  <a:buClrTx/>
                  <a:buSzTx/>
                  <a:buFontTx/>
                  <a:buNone/>
                  <a:tabLst/>
                  <a:defRPr sz="1100" b="1" i="0" u="none" strike="noStrike" kern="1200" baseline="0">
                    <a:solidFill>
                      <a:sysClr val="windowText" lastClr="000000"/>
                    </a:solidFill>
                    <a:latin typeface="Times New Roman" pitchFamily="18" charset="0"/>
                    <a:ea typeface="+mn-ea"/>
                    <a:cs typeface="Times New Roman" pitchFamily="18" charset="0"/>
                  </a:defRPr>
                </a:pPr>
                <a:r>
                  <a:rPr lang="en-US" sz="1000" b="1" i="0" baseline="0">
                    <a:effectLst/>
                  </a:rPr>
                  <a:t>Mean number/</a:t>
                </a:r>
                <a:r>
                  <a:rPr lang="en-US" sz="1100" b="1" i="0" u="none" strike="noStrike" baseline="0">
                    <a:effectLst/>
                  </a:rPr>
                  <a:t>trap/inspection</a:t>
                </a:r>
              </a:p>
              <a:p>
                <a:pPr marL="0" marR="0" indent="0" algn="ctr" defTabSz="914400" rtl="0" eaLnBrk="1" fontAlgn="auto" latinLnBrk="0" hangingPunct="1">
                  <a:lnSpc>
                    <a:spcPct val="100000"/>
                  </a:lnSpc>
                  <a:spcBef>
                    <a:spcPts val="0"/>
                  </a:spcBef>
                  <a:spcAft>
                    <a:spcPts val="0"/>
                  </a:spcAft>
                  <a:buClrTx/>
                  <a:buSzTx/>
                  <a:buFontTx/>
                  <a:buNone/>
                  <a:tabLst/>
                  <a:defRPr sz="1100" b="1" i="0" u="none" strike="noStrike" kern="1200" baseline="0">
                    <a:solidFill>
                      <a:sysClr val="windowText" lastClr="000000"/>
                    </a:solidFill>
                    <a:latin typeface="Times New Roman" pitchFamily="18" charset="0"/>
                    <a:ea typeface="+mn-ea"/>
                    <a:cs typeface="Times New Roman" pitchFamily="18" charset="0"/>
                  </a:defRPr>
                </a:pPr>
                <a:r>
                  <a:rPr lang="en-US" sz="1000" b="1" i="0" baseline="0">
                    <a:effectLst/>
                  </a:rPr>
                  <a:t>(± SE)</a:t>
                </a:r>
                <a:endParaRPr lang="en-US" b="1"/>
              </a:p>
            </c:rich>
          </c:tx>
          <c:layout>
            <c:manualLayout>
              <c:xMode val="edge"/>
              <c:yMode val="edge"/>
              <c:x val="9.4007050528789656E-3"/>
              <c:y val="0.13142828665404166"/>
            </c:manualLayout>
          </c:layout>
          <c:overlay val="0"/>
        </c:title>
        <c:numFmt formatCode="General" sourceLinked="1"/>
        <c:majorTickMark val="out"/>
        <c:minorTickMark val="none"/>
        <c:tickLblPos val="nextTo"/>
        <c:spPr>
          <a:ln>
            <a:solidFill>
              <a:schemeClr val="tx1"/>
            </a:solidFill>
          </a:ln>
        </c:spPr>
        <c:crossAx val="40907520"/>
        <c:crosses val="autoZero"/>
        <c:crossBetween val="between"/>
      </c:valAx>
      <c:spPr>
        <a:noFill/>
        <a:ln>
          <a:solidFill>
            <a:schemeClr val="tx1"/>
          </a:solidFill>
        </a:ln>
      </c:spPr>
    </c:plotArea>
    <c:plotVisOnly val="1"/>
    <c:dispBlanksAs val="gap"/>
    <c:showDLblsOverMax val="0"/>
  </c:chart>
  <c:spPr>
    <a:noFill/>
    <a:ln>
      <a:solidFill>
        <a:schemeClr val="tx1">
          <a:lumMod val="65000"/>
          <a:lumOff val="35000"/>
        </a:schemeClr>
      </a:solidFill>
    </a:ln>
  </c:spPr>
  <c:txPr>
    <a:bodyPr/>
    <a:lstStyle/>
    <a:p>
      <a:pPr>
        <a:defRPr sz="1100" b="0">
          <a:latin typeface="Times New Roman" pitchFamily="18" charset="0"/>
          <a:cs typeface="Times New Roman" pitchFamily="18" charset="0"/>
        </a:defRPr>
      </a:pPr>
      <a:endParaRPr lang="en-US"/>
    </a:p>
  </c:txPr>
  <c:externalData r:id="rId2">
    <c:autoUpdate val="0"/>
  </c:externalData>
  <c:userShapes r:id="rId3"/>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4406136259359009"/>
          <c:y val="4.7555028066701553E-2"/>
          <c:w val="0.64599196414506654"/>
          <c:h val="0.75548284671393062"/>
        </c:manualLayout>
      </c:layout>
      <c:lineChart>
        <c:grouping val="standard"/>
        <c:varyColors val="0"/>
        <c:ser>
          <c:idx val="0"/>
          <c:order val="0"/>
          <c:tx>
            <c:strRef>
              <c:f>'O. melanopus - Naturalis mortal'!$C$68</c:f>
              <c:strCache>
                <c:ptCount val="1"/>
                <c:pt idx="0">
                  <c:v>107</c:v>
                </c:pt>
              </c:strCache>
            </c:strRef>
          </c:tx>
          <c:spPr>
            <a:ln w="9525">
              <a:solidFill>
                <a:schemeClr val="tx1"/>
              </a:solidFill>
            </a:ln>
          </c:spPr>
          <c:marker>
            <c:symbol val="diamond"/>
            <c:size val="6"/>
            <c:spPr>
              <a:solidFill>
                <a:schemeClr val="bg1"/>
              </a:solidFill>
              <a:ln>
                <a:solidFill>
                  <a:schemeClr val="tx1"/>
                </a:solidFill>
              </a:ln>
            </c:spPr>
          </c:marker>
          <c:errBars>
            <c:errDir val="y"/>
            <c:errBarType val="both"/>
            <c:errValType val="cust"/>
            <c:noEndCap val="0"/>
            <c:plus>
              <c:numRef>
                <c:f>'O. melanopus - Naturalis mortal'!$C$95:$C$104</c:f>
                <c:numCache>
                  <c:formatCode>General</c:formatCode>
                  <c:ptCount val="10"/>
                  <c:pt idx="0">
                    <c:v>5.7230972626412298</c:v>
                  </c:pt>
                  <c:pt idx="1">
                    <c:v>2.7492869961410755</c:v>
                  </c:pt>
                  <c:pt idx="2">
                    <c:v>1.587301587301589</c:v>
                  </c:pt>
                  <c:pt idx="3">
                    <c:v>1.587301587301589</c:v>
                  </c:pt>
                  <c:pt idx="4">
                    <c:v>1.410824510685013</c:v>
                  </c:pt>
                  <c:pt idx="5">
                    <c:v>5.1231987598452386</c:v>
                  </c:pt>
                  <c:pt idx="6">
                    <c:v>0.17543859649122834</c:v>
                  </c:pt>
                  <c:pt idx="7">
                    <c:v>1.6569200779727047</c:v>
                  </c:pt>
                  <c:pt idx="8">
                    <c:v>3.7037037037037002</c:v>
                  </c:pt>
                  <c:pt idx="9">
                    <c:v>3.3979246101268421</c:v>
                  </c:pt>
                </c:numCache>
              </c:numRef>
            </c:plus>
            <c:minus>
              <c:numRef>
                <c:f>'O. melanopus - Naturalis mortal'!$C$95:$C$104</c:f>
                <c:numCache>
                  <c:formatCode>General</c:formatCode>
                  <c:ptCount val="10"/>
                  <c:pt idx="0">
                    <c:v>5.7230972626412298</c:v>
                  </c:pt>
                  <c:pt idx="1">
                    <c:v>2.7492869961410755</c:v>
                  </c:pt>
                  <c:pt idx="2">
                    <c:v>1.587301587301589</c:v>
                  </c:pt>
                  <c:pt idx="3">
                    <c:v>1.587301587301589</c:v>
                  </c:pt>
                  <c:pt idx="4">
                    <c:v>1.410824510685013</c:v>
                  </c:pt>
                  <c:pt idx="5">
                    <c:v>5.1231987598452386</c:v>
                  </c:pt>
                  <c:pt idx="6">
                    <c:v>0.17543859649122834</c:v>
                  </c:pt>
                  <c:pt idx="7">
                    <c:v>1.6569200779727047</c:v>
                  </c:pt>
                  <c:pt idx="8">
                    <c:v>3.7037037037037002</c:v>
                  </c:pt>
                  <c:pt idx="9">
                    <c:v>3.3979246101268421</c:v>
                  </c:pt>
                </c:numCache>
              </c:numRef>
            </c:minus>
          </c:errBars>
          <c:val>
            <c:numRef>
              <c:f>'O. melanopus - Naturalis mortal'!$C$69:$C$78</c:f>
              <c:numCache>
                <c:formatCode>0.00</c:formatCode>
                <c:ptCount val="10"/>
                <c:pt idx="0">
                  <c:v>55.555555555555564</c:v>
                </c:pt>
                <c:pt idx="1">
                  <c:v>61.904761904761905</c:v>
                </c:pt>
                <c:pt idx="2">
                  <c:v>65.079365079365076</c:v>
                </c:pt>
                <c:pt idx="3">
                  <c:v>65.079365079365076</c:v>
                </c:pt>
                <c:pt idx="4">
                  <c:v>69.365079365079382</c:v>
                </c:pt>
                <c:pt idx="5">
                  <c:v>80.238095238095241</c:v>
                </c:pt>
                <c:pt idx="6">
                  <c:v>89.824561403508781</c:v>
                </c:pt>
                <c:pt idx="7">
                  <c:v>91.130604288499015</c:v>
                </c:pt>
                <c:pt idx="8">
                  <c:v>92.592592592592609</c:v>
                </c:pt>
                <c:pt idx="9">
                  <c:v>94.226579520697172</c:v>
                </c:pt>
              </c:numCache>
            </c:numRef>
          </c:val>
          <c:smooth val="0"/>
          <c:extLst>
            <c:ext xmlns:c16="http://schemas.microsoft.com/office/drawing/2014/chart" uri="{C3380CC4-5D6E-409C-BE32-E72D297353CC}">
              <c16:uniqueId val="{00000000-FD84-4EA7-B712-0AB084A1B5DA}"/>
            </c:ext>
          </c:extLst>
        </c:ser>
        <c:ser>
          <c:idx val="1"/>
          <c:order val="1"/>
          <c:tx>
            <c:strRef>
              <c:f>'O. melanopus - Naturalis mortal'!$D$68</c:f>
              <c:strCache>
                <c:ptCount val="1"/>
                <c:pt idx="0">
                  <c:v>106</c:v>
                </c:pt>
              </c:strCache>
            </c:strRef>
          </c:tx>
          <c:spPr>
            <a:ln w="9525">
              <a:solidFill>
                <a:schemeClr val="tx1"/>
              </a:solidFill>
            </a:ln>
          </c:spPr>
          <c:marker>
            <c:symbol val="square"/>
            <c:size val="5"/>
            <c:spPr>
              <a:solidFill>
                <a:schemeClr val="tx1"/>
              </a:solidFill>
              <a:ln>
                <a:solidFill>
                  <a:schemeClr val="tx1"/>
                </a:solidFill>
              </a:ln>
            </c:spPr>
          </c:marker>
          <c:errBars>
            <c:errDir val="y"/>
            <c:errBarType val="both"/>
            <c:errValType val="cust"/>
            <c:noEndCap val="0"/>
            <c:plus>
              <c:numRef>
                <c:f>'O. melanopus - Naturalis mortal'!$D$95:$D$104</c:f>
                <c:numCache>
                  <c:formatCode>General</c:formatCode>
                  <c:ptCount val="10"/>
                  <c:pt idx="0">
                    <c:v>3.1746031746031749</c:v>
                  </c:pt>
                  <c:pt idx="1">
                    <c:v>2.7492869961410751</c:v>
                  </c:pt>
                  <c:pt idx="2">
                    <c:v>2.7492869961410751</c:v>
                  </c:pt>
                  <c:pt idx="3">
                    <c:v>2.7492869961410751</c:v>
                  </c:pt>
                  <c:pt idx="4">
                    <c:v>9.9126952355530147</c:v>
                  </c:pt>
                  <c:pt idx="5">
                    <c:v>15.193594080512883</c:v>
                  </c:pt>
                  <c:pt idx="6">
                    <c:v>11.177586617768704</c:v>
                  </c:pt>
                  <c:pt idx="7">
                    <c:v>9.9534576499993168</c:v>
                  </c:pt>
                  <c:pt idx="8">
                    <c:v>8.0720350806308439</c:v>
                  </c:pt>
                  <c:pt idx="9">
                    <c:v>6.7923561081132222</c:v>
                  </c:pt>
                </c:numCache>
              </c:numRef>
            </c:plus>
            <c:minus>
              <c:numRef>
                <c:f>'O. melanopus - Naturalis mortal'!$D$95:$D$104</c:f>
                <c:numCache>
                  <c:formatCode>General</c:formatCode>
                  <c:ptCount val="10"/>
                  <c:pt idx="0">
                    <c:v>3.1746031746031749</c:v>
                  </c:pt>
                  <c:pt idx="1">
                    <c:v>2.7492869961410751</c:v>
                  </c:pt>
                  <c:pt idx="2">
                    <c:v>2.7492869961410751</c:v>
                  </c:pt>
                  <c:pt idx="3">
                    <c:v>2.7492869961410751</c:v>
                  </c:pt>
                  <c:pt idx="4">
                    <c:v>9.9126952355530147</c:v>
                  </c:pt>
                  <c:pt idx="5">
                    <c:v>15.193594080512883</c:v>
                  </c:pt>
                  <c:pt idx="6">
                    <c:v>11.177586617768704</c:v>
                  </c:pt>
                  <c:pt idx="7">
                    <c:v>9.9534576499993168</c:v>
                  </c:pt>
                  <c:pt idx="8">
                    <c:v>8.0720350806308439</c:v>
                  </c:pt>
                  <c:pt idx="9">
                    <c:v>6.7923561081132222</c:v>
                  </c:pt>
                </c:numCache>
              </c:numRef>
            </c:minus>
          </c:errBars>
          <c:val>
            <c:numRef>
              <c:f>'O. melanopus - Naturalis mortal'!$D$69:$D$78</c:f>
              <c:numCache>
                <c:formatCode>0.00</c:formatCode>
                <c:ptCount val="10"/>
                <c:pt idx="0">
                  <c:v>3.1746031746031744</c:v>
                </c:pt>
                <c:pt idx="1">
                  <c:v>4.7619047619047619</c:v>
                </c:pt>
                <c:pt idx="2">
                  <c:v>4.7619047619047619</c:v>
                </c:pt>
                <c:pt idx="3">
                  <c:v>4.7619047619047619</c:v>
                </c:pt>
                <c:pt idx="4">
                  <c:v>14.285714285714286</c:v>
                </c:pt>
                <c:pt idx="5">
                  <c:v>47.06349206349207</c:v>
                </c:pt>
                <c:pt idx="6">
                  <c:v>72.719298245614041</c:v>
                </c:pt>
                <c:pt idx="7">
                  <c:v>80.214424951267063</c:v>
                </c:pt>
                <c:pt idx="8">
                  <c:v>87.037037037037052</c:v>
                </c:pt>
                <c:pt idx="9">
                  <c:v>88.235294117647072</c:v>
                </c:pt>
              </c:numCache>
            </c:numRef>
          </c:val>
          <c:smooth val="0"/>
          <c:extLst>
            <c:ext xmlns:c16="http://schemas.microsoft.com/office/drawing/2014/chart" uri="{C3380CC4-5D6E-409C-BE32-E72D297353CC}">
              <c16:uniqueId val="{00000001-FD84-4EA7-B712-0AB084A1B5DA}"/>
            </c:ext>
          </c:extLst>
        </c:ser>
        <c:ser>
          <c:idx val="2"/>
          <c:order val="2"/>
          <c:tx>
            <c:strRef>
              <c:f>'O. melanopus - Naturalis mortal'!$E$68</c:f>
              <c:strCache>
                <c:ptCount val="1"/>
                <c:pt idx="0">
                  <c:v>105</c:v>
                </c:pt>
              </c:strCache>
            </c:strRef>
          </c:tx>
          <c:spPr>
            <a:ln w="12700">
              <a:solidFill>
                <a:schemeClr val="tx1"/>
              </a:solidFill>
              <a:prstDash val="sysDash"/>
            </a:ln>
          </c:spPr>
          <c:marker>
            <c:symbol val="triangle"/>
            <c:size val="6"/>
            <c:spPr>
              <a:solidFill>
                <a:schemeClr val="bg1"/>
              </a:solidFill>
              <a:ln>
                <a:solidFill>
                  <a:schemeClr val="tx1"/>
                </a:solidFill>
              </a:ln>
            </c:spPr>
          </c:marker>
          <c:errBars>
            <c:errDir val="y"/>
            <c:errBarType val="both"/>
            <c:errValType val="cust"/>
            <c:noEndCap val="0"/>
            <c:plus>
              <c:numRef>
                <c:f>'O. melanopus - Naturalis mortal'!$E$95:$E$104</c:f>
                <c:numCache>
                  <c:formatCode>General</c:formatCode>
                  <c:ptCount val="10"/>
                  <c:pt idx="0">
                    <c:v>0</c:v>
                  </c:pt>
                  <c:pt idx="1">
                    <c:v>1.5873015873015874</c:v>
                  </c:pt>
                  <c:pt idx="2">
                    <c:v>0</c:v>
                  </c:pt>
                  <c:pt idx="3">
                    <c:v>1.587301587301587</c:v>
                  </c:pt>
                  <c:pt idx="4">
                    <c:v>2.7492869961410751</c:v>
                  </c:pt>
                  <c:pt idx="5">
                    <c:v>4.3708475596870997</c:v>
                  </c:pt>
                  <c:pt idx="6">
                    <c:v>10.065956693179682</c:v>
                  </c:pt>
                  <c:pt idx="7">
                    <c:v>6.5476477314106889</c:v>
                  </c:pt>
                  <c:pt idx="8">
                    <c:v>6.415002990995843</c:v>
                  </c:pt>
                  <c:pt idx="9">
                    <c:v>3.5062041262376944</c:v>
                  </c:pt>
                </c:numCache>
              </c:numRef>
            </c:plus>
            <c:minus>
              <c:numRef>
                <c:f>'O. melanopus - Naturalis mortal'!$E$95:$E$104</c:f>
                <c:numCache>
                  <c:formatCode>General</c:formatCode>
                  <c:ptCount val="10"/>
                  <c:pt idx="0">
                    <c:v>0</c:v>
                  </c:pt>
                  <c:pt idx="1">
                    <c:v>1.5873015873015874</c:v>
                  </c:pt>
                  <c:pt idx="2">
                    <c:v>0</c:v>
                  </c:pt>
                  <c:pt idx="3">
                    <c:v>1.587301587301587</c:v>
                  </c:pt>
                  <c:pt idx="4">
                    <c:v>2.7492869961410751</c:v>
                  </c:pt>
                  <c:pt idx="5">
                    <c:v>4.3708475596870997</c:v>
                  </c:pt>
                  <c:pt idx="6">
                    <c:v>10.065956693179682</c:v>
                  </c:pt>
                  <c:pt idx="7">
                    <c:v>6.5476477314106889</c:v>
                  </c:pt>
                  <c:pt idx="8">
                    <c:v>6.415002990995843</c:v>
                  </c:pt>
                  <c:pt idx="9">
                    <c:v>3.5062041262376944</c:v>
                  </c:pt>
                </c:numCache>
              </c:numRef>
            </c:minus>
          </c:errBars>
          <c:val>
            <c:numRef>
              <c:f>'O. melanopus - Naturalis mortal'!$E$69:$E$78</c:f>
              <c:numCache>
                <c:formatCode>0.00</c:formatCode>
                <c:ptCount val="10"/>
                <c:pt idx="0">
                  <c:v>0</c:v>
                </c:pt>
                <c:pt idx="1">
                  <c:v>1.5873015873015872</c:v>
                </c:pt>
                <c:pt idx="2">
                  <c:v>4.7619047619047619</c:v>
                </c:pt>
                <c:pt idx="3">
                  <c:v>6.3492063492063489</c:v>
                </c:pt>
                <c:pt idx="4">
                  <c:v>4.7619047619047619</c:v>
                </c:pt>
                <c:pt idx="5">
                  <c:v>13.095238095238095</c:v>
                </c:pt>
                <c:pt idx="6">
                  <c:v>21.754385964912284</c:v>
                </c:pt>
                <c:pt idx="7">
                  <c:v>34.015594541910332</c:v>
                </c:pt>
                <c:pt idx="8">
                  <c:v>38.888888888888893</c:v>
                </c:pt>
                <c:pt idx="9">
                  <c:v>46.187363834422662</c:v>
                </c:pt>
              </c:numCache>
            </c:numRef>
          </c:val>
          <c:smooth val="0"/>
          <c:extLst>
            <c:ext xmlns:c16="http://schemas.microsoft.com/office/drawing/2014/chart" uri="{C3380CC4-5D6E-409C-BE32-E72D297353CC}">
              <c16:uniqueId val="{00000002-FD84-4EA7-B712-0AB084A1B5DA}"/>
            </c:ext>
          </c:extLst>
        </c:ser>
        <c:ser>
          <c:idx val="3"/>
          <c:order val="3"/>
          <c:tx>
            <c:strRef>
              <c:f>'O. melanopus - Naturalis mortal'!$F$68</c:f>
              <c:strCache>
                <c:ptCount val="1"/>
                <c:pt idx="0">
                  <c:v>104</c:v>
                </c:pt>
              </c:strCache>
            </c:strRef>
          </c:tx>
          <c:spPr>
            <a:ln w="12700">
              <a:solidFill>
                <a:schemeClr val="tx1"/>
              </a:solidFill>
              <a:prstDash val="dash"/>
            </a:ln>
          </c:spPr>
          <c:marker>
            <c:symbol val="diamond"/>
            <c:size val="6"/>
            <c:spPr>
              <a:solidFill>
                <a:schemeClr val="tx1"/>
              </a:solidFill>
              <a:ln>
                <a:solidFill>
                  <a:schemeClr val="tx1"/>
                </a:solidFill>
              </a:ln>
            </c:spPr>
          </c:marker>
          <c:errBars>
            <c:errDir val="y"/>
            <c:errBarType val="both"/>
            <c:errValType val="cust"/>
            <c:noEndCap val="0"/>
            <c:plus>
              <c:numRef>
                <c:f>'O. melanopus - Naturalis mortal'!$F$95:$F$104</c:f>
                <c:numCache>
                  <c:formatCode>General</c:formatCode>
                  <c:ptCount val="10"/>
                  <c:pt idx="0">
                    <c:v>0</c:v>
                  </c:pt>
                  <c:pt idx="1">
                    <c:v>1.5873015873015874</c:v>
                  </c:pt>
                  <c:pt idx="2">
                    <c:v>1.5873015873015874</c:v>
                  </c:pt>
                  <c:pt idx="3">
                    <c:v>5.7230972626412528</c:v>
                  </c:pt>
                  <c:pt idx="4">
                    <c:v>11.173577243669863</c:v>
                  </c:pt>
                  <c:pt idx="5">
                    <c:v>14.574462802669419</c:v>
                  </c:pt>
                  <c:pt idx="6">
                    <c:v>13.701350040083597</c:v>
                  </c:pt>
                  <c:pt idx="7">
                    <c:v>19.112262692933637</c:v>
                  </c:pt>
                  <c:pt idx="8">
                    <c:v>22.45251046848545</c:v>
                  </c:pt>
                  <c:pt idx="9">
                    <c:v>24.312446769069982</c:v>
                  </c:pt>
                </c:numCache>
              </c:numRef>
            </c:plus>
            <c:minus>
              <c:numRef>
                <c:f>'O. melanopus - Naturalis mortal'!$F$95:$F$104</c:f>
                <c:numCache>
                  <c:formatCode>General</c:formatCode>
                  <c:ptCount val="10"/>
                  <c:pt idx="0">
                    <c:v>0</c:v>
                  </c:pt>
                  <c:pt idx="1">
                    <c:v>1.5873015873015874</c:v>
                  </c:pt>
                  <c:pt idx="2">
                    <c:v>1.5873015873015874</c:v>
                  </c:pt>
                  <c:pt idx="3">
                    <c:v>5.7230972626412528</c:v>
                  </c:pt>
                  <c:pt idx="4">
                    <c:v>11.173577243669863</c:v>
                  </c:pt>
                  <c:pt idx="5">
                    <c:v>14.574462802669419</c:v>
                  </c:pt>
                  <c:pt idx="6">
                    <c:v>13.701350040083597</c:v>
                  </c:pt>
                  <c:pt idx="7">
                    <c:v>19.112262692933637</c:v>
                  </c:pt>
                  <c:pt idx="8">
                    <c:v>22.45251046848545</c:v>
                  </c:pt>
                  <c:pt idx="9">
                    <c:v>24.312446769069982</c:v>
                  </c:pt>
                </c:numCache>
              </c:numRef>
            </c:minus>
          </c:errBars>
          <c:val>
            <c:numRef>
              <c:f>'O. melanopus - Naturalis mortal'!$F$69:$F$78</c:f>
              <c:numCache>
                <c:formatCode>0.00</c:formatCode>
                <c:ptCount val="10"/>
                <c:pt idx="0">
                  <c:v>0</c:v>
                </c:pt>
                <c:pt idx="1">
                  <c:v>1.5873015873015872</c:v>
                </c:pt>
                <c:pt idx="2">
                  <c:v>3.1746031746031744</c:v>
                </c:pt>
                <c:pt idx="3">
                  <c:v>7.9365079365079367</c:v>
                </c:pt>
                <c:pt idx="4">
                  <c:v>12.61904761904762</c:v>
                </c:pt>
                <c:pt idx="5">
                  <c:v>14.285714285714285</c:v>
                </c:pt>
                <c:pt idx="6">
                  <c:v>13.245614035087719</c:v>
                </c:pt>
                <c:pt idx="7">
                  <c:v>15.594541910331385</c:v>
                </c:pt>
                <c:pt idx="8">
                  <c:v>22.222222222222225</c:v>
                </c:pt>
                <c:pt idx="9">
                  <c:v>24.074074074074076</c:v>
                </c:pt>
              </c:numCache>
            </c:numRef>
          </c:val>
          <c:smooth val="0"/>
          <c:extLst>
            <c:ext xmlns:c16="http://schemas.microsoft.com/office/drawing/2014/chart" uri="{C3380CC4-5D6E-409C-BE32-E72D297353CC}">
              <c16:uniqueId val="{00000003-FD84-4EA7-B712-0AB084A1B5DA}"/>
            </c:ext>
          </c:extLst>
        </c:ser>
        <c:ser>
          <c:idx val="4"/>
          <c:order val="4"/>
          <c:tx>
            <c:strRef>
              <c:f>'O. melanopus - Naturalis mortal'!$G$68</c:f>
              <c:strCache>
                <c:ptCount val="1"/>
                <c:pt idx="0">
                  <c:v>103</c:v>
                </c:pt>
              </c:strCache>
            </c:strRef>
          </c:tx>
          <c:spPr>
            <a:ln w="15875">
              <a:solidFill>
                <a:schemeClr val="tx1"/>
              </a:solidFill>
              <a:prstDash val="sysDot"/>
            </a:ln>
          </c:spPr>
          <c:marker>
            <c:symbol val="circle"/>
            <c:size val="6"/>
            <c:spPr>
              <a:solidFill>
                <a:schemeClr val="bg1"/>
              </a:solidFill>
              <a:ln>
                <a:solidFill>
                  <a:schemeClr val="tx1"/>
                </a:solidFill>
              </a:ln>
            </c:spPr>
          </c:marker>
          <c:errBars>
            <c:errDir val="y"/>
            <c:errBarType val="both"/>
            <c:errValType val="cust"/>
            <c:noEndCap val="0"/>
            <c:plus>
              <c:numRef>
                <c:f>'O. melanopus - Naturalis mortal'!$G$95:$G$104</c:f>
                <c:numCache>
                  <c:formatCode>General</c:formatCode>
                  <c:ptCount val="10"/>
                  <c:pt idx="0">
                    <c:v>1.5873015873015874</c:v>
                  </c:pt>
                  <c:pt idx="1">
                    <c:v>1.5873015873015874</c:v>
                  </c:pt>
                  <c:pt idx="2">
                    <c:v>1.5873015873015874</c:v>
                  </c:pt>
                  <c:pt idx="3">
                    <c:v>1.5873015873015874</c:v>
                  </c:pt>
                  <c:pt idx="4">
                    <c:v>1.6284352800542214</c:v>
                  </c:pt>
                  <c:pt idx="5">
                    <c:v>1.7077329199484135</c:v>
                  </c:pt>
                  <c:pt idx="6">
                    <c:v>1.6245841383729949</c:v>
                  </c:pt>
                  <c:pt idx="7">
                    <c:v>2.9546796084257538</c:v>
                  </c:pt>
                  <c:pt idx="8">
                    <c:v>1.851851851851853</c:v>
                  </c:pt>
                  <c:pt idx="9">
                    <c:v>3.3769063180827916</c:v>
                  </c:pt>
                </c:numCache>
              </c:numRef>
            </c:plus>
            <c:minus>
              <c:numRef>
                <c:f>'O. melanopus - Naturalis mortal'!$G$95:$G$104</c:f>
                <c:numCache>
                  <c:formatCode>General</c:formatCode>
                  <c:ptCount val="10"/>
                  <c:pt idx="0">
                    <c:v>1.5873015873015874</c:v>
                  </c:pt>
                  <c:pt idx="1">
                    <c:v>1.5873015873015874</c:v>
                  </c:pt>
                  <c:pt idx="2">
                    <c:v>1.5873015873015874</c:v>
                  </c:pt>
                  <c:pt idx="3">
                    <c:v>1.5873015873015874</c:v>
                  </c:pt>
                  <c:pt idx="4">
                    <c:v>1.6284352800542214</c:v>
                  </c:pt>
                  <c:pt idx="5">
                    <c:v>1.7077329199484135</c:v>
                  </c:pt>
                  <c:pt idx="6">
                    <c:v>1.6245841383729949</c:v>
                  </c:pt>
                  <c:pt idx="7">
                    <c:v>2.9546796084257538</c:v>
                  </c:pt>
                  <c:pt idx="8">
                    <c:v>1.851851851851853</c:v>
                  </c:pt>
                  <c:pt idx="9">
                    <c:v>3.3769063180827916</c:v>
                  </c:pt>
                </c:numCache>
              </c:numRef>
            </c:minus>
          </c:errBars>
          <c:val>
            <c:numRef>
              <c:f>'O. melanopus - Naturalis mortal'!$G$69:$G$78</c:f>
              <c:numCache>
                <c:formatCode>0.00</c:formatCode>
                <c:ptCount val="10"/>
                <c:pt idx="0">
                  <c:v>1.5873015873015872</c:v>
                </c:pt>
                <c:pt idx="1">
                  <c:v>1.5873015873015872</c:v>
                </c:pt>
                <c:pt idx="2">
                  <c:v>1.5873015873015872</c:v>
                </c:pt>
                <c:pt idx="3">
                  <c:v>3.1746031746031744</c:v>
                </c:pt>
                <c:pt idx="4">
                  <c:v>3.2539682539682544</c:v>
                </c:pt>
                <c:pt idx="5">
                  <c:v>6.5873015873015879</c:v>
                </c:pt>
                <c:pt idx="6">
                  <c:v>6.7543859649122808</c:v>
                </c:pt>
                <c:pt idx="7">
                  <c:v>10.623781676413254</c:v>
                </c:pt>
                <c:pt idx="8">
                  <c:v>12.962962962962964</c:v>
                </c:pt>
                <c:pt idx="9">
                  <c:v>21.023965141612205</c:v>
                </c:pt>
              </c:numCache>
            </c:numRef>
          </c:val>
          <c:smooth val="0"/>
          <c:extLst>
            <c:ext xmlns:c16="http://schemas.microsoft.com/office/drawing/2014/chart" uri="{C3380CC4-5D6E-409C-BE32-E72D297353CC}">
              <c16:uniqueId val="{00000004-FD84-4EA7-B712-0AB084A1B5DA}"/>
            </c:ext>
          </c:extLst>
        </c:ser>
        <c:ser>
          <c:idx val="5"/>
          <c:order val="5"/>
          <c:tx>
            <c:strRef>
              <c:f>'O. melanopus - Naturalis mortal'!$H$81</c:f>
              <c:strCache>
                <c:ptCount val="1"/>
                <c:pt idx="0">
                  <c:v>102</c:v>
                </c:pt>
              </c:strCache>
            </c:strRef>
          </c:tx>
          <c:spPr>
            <a:ln w="12700">
              <a:solidFill>
                <a:schemeClr val="tx1"/>
              </a:solidFill>
              <a:prstDash val="lgDash"/>
            </a:ln>
          </c:spPr>
          <c:marker>
            <c:symbol val="star"/>
            <c:size val="5"/>
            <c:spPr>
              <a:ln>
                <a:solidFill>
                  <a:schemeClr val="tx1"/>
                </a:solidFill>
              </a:ln>
            </c:spPr>
          </c:marker>
          <c:errBars>
            <c:errDir val="y"/>
            <c:errBarType val="both"/>
            <c:errValType val="cust"/>
            <c:noEndCap val="0"/>
            <c:plus>
              <c:numRef>
                <c:f>'O. melanopus - Naturalis mortal'!$H$95:$H$104</c:f>
                <c:numCache>
                  <c:formatCode>General</c:formatCode>
                  <c:ptCount val="10"/>
                  <c:pt idx="0">
                    <c:v>0</c:v>
                  </c:pt>
                  <c:pt idx="1">
                    <c:v>0</c:v>
                  </c:pt>
                  <c:pt idx="2">
                    <c:v>0</c:v>
                  </c:pt>
                  <c:pt idx="3">
                    <c:v>0</c:v>
                  </c:pt>
                  <c:pt idx="4">
                    <c:v>3.1746031746031749</c:v>
                  </c:pt>
                  <c:pt idx="5">
                    <c:v>4.2908552352105627</c:v>
                  </c:pt>
                  <c:pt idx="6">
                    <c:v>1.6666666666666667</c:v>
                  </c:pt>
                  <c:pt idx="7">
                    <c:v>3.5087719298245608</c:v>
                  </c:pt>
                  <c:pt idx="8">
                    <c:v>3.2075014954979215</c:v>
                  </c:pt>
                  <c:pt idx="9">
                    <c:v>3.5947712418300637</c:v>
                  </c:pt>
                </c:numCache>
              </c:numRef>
            </c:plus>
            <c:minus>
              <c:numRef>
                <c:f>'O. melanopus - Naturalis mortal'!$H$95:$H$104</c:f>
                <c:numCache>
                  <c:formatCode>General</c:formatCode>
                  <c:ptCount val="10"/>
                  <c:pt idx="0">
                    <c:v>0</c:v>
                  </c:pt>
                  <c:pt idx="1">
                    <c:v>0</c:v>
                  </c:pt>
                  <c:pt idx="2">
                    <c:v>0</c:v>
                  </c:pt>
                  <c:pt idx="3">
                    <c:v>0</c:v>
                  </c:pt>
                  <c:pt idx="4">
                    <c:v>3.1746031746031749</c:v>
                  </c:pt>
                  <c:pt idx="5">
                    <c:v>4.2908552352105627</c:v>
                  </c:pt>
                  <c:pt idx="6">
                    <c:v>1.6666666666666667</c:v>
                  </c:pt>
                  <c:pt idx="7">
                    <c:v>3.5087719298245608</c:v>
                  </c:pt>
                  <c:pt idx="8">
                    <c:v>3.2075014954979215</c:v>
                  </c:pt>
                  <c:pt idx="9">
                    <c:v>3.5947712418300637</c:v>
                  </c:pt>
                </c:numCache>
              </c:numRef>
            </c:minus>
          </c:errBars>
          <c:val>
            <c:numRef>
              <c:f>'O. melanopus - Naturalis mortal'!$H$69:$H$78</c:f>
              <c:numCache>
                <c:formatCode>0.00</c:formatCode>
                <c:ptCount val="10"/>
                <c:pt idx="0">
                  <c:v>0</c:v>
                </c:pt>
                <c:pt idx="1">
                  <c:v>0</c:v>
                </c:pt>
                <c:pt idx="2">
                  <c:v>0</c:v>
                </c:pt>
                <c:pt idx="3">
                  <c:v>0</c:v>
                </c:pt>
                <c:pt idx="4">
                  <c:v>3.1746031746031744</c:v>
                </c:pt>
                <c:pt idx="5">
                  <c:v>3.1746031746031744</c:v>
                </c:pt>
                <c:pt idx="6">
                  <c:v>1.6666666666666667</c:v>
                </c:pt>
                <c:pt idx="7">
                  <c:v>3.5087719298245612</c:v>
                </c:pt>
                <c:pt idx="8">
                  <c:v>5.5555555555555562</c:v>
                </c:pt>
                <c:pt idx="9">
                  <c:v>9.4771241830065378</c:v>
                </c:pt>
              </c:numCache>
            </c:numRef>
          </c:val>
          <c:smooth val="0"/>
          <c:extLst>
            <c:ext xmlns:c16="http://schemas.microsoft.com/office/drawing/2014/chart" uri="{C3380CC4-5D6E-409C-BE32-E72D297353CC}">
              <c16:uniqueId val="{00000005-FD84-4EA7-B712-0AB084A1B5DA}"/>
            </c:ext>
          </c:extLst>
        </c:ser>
        <c:dLbls>
          <c:showLegendKey val="0"/>
          <c:showVal val="0"/>
          <c:showCatName val="0"/>
          <c:showSerName val="0"/>
          <c:showPercent val="0"/>
          <c:showBubbleSize val="0"/>
        </c:dLbls>
        <c:marker val="1"/>
        <c:smooth val="0"/>
        <c:axId val="128856064"/>
        <c:axId val="128857984"/>
      </c:lineChart>
      <c:catAx>
        <c:axId val="128856064"/>
        <c:scaling>
          <c:orientation val="minMax"/>
        </c:scaling>
        <c:delete val="0"/>
        <c:axPos val="b"/>
        <c:title>
          <c:tx>
            <c:rich>
              <a:bodyPr/>
              <a:lstStyle/>
              <a:p>
                <a:pPr>
                  <a:defRPr sz="1100" b="1"/>
                </a:pPr>
                <a:r>
                  <a:rPr lang="en-US" sz="1100" b="1" i="0" u="none" strike="noStrike" baseline="0"/>
                  <a:t>Days after treatment</a:t>
                </a:r>
                <a:endParaRPr lang="en-US" sz="1100" b="1"/>
              </a:p>
            </c:rich>
          </c:tx>
          <c:layout>
            <c:manualLayout>
              <c:xMode val="edge"/>
              <c:yMode val="edge"/>
              <c:x val="0.37805231412901219"/>
              <c:y val="0.90799474887681131"/>
            </c:manualLayout>
          </c:layout>
          <c:overlay val="0"/>
        </c:title>
        <c:majorTickMark val="out"/>
        <c:minorTickMark val="none"/>
        <c:tickLblPos val="nextTo"/>
        <c:spPr>
          <a:ln w="9525">
            <a:solidFill>
              <a:schemeClr val="tx1"/>
            </a:solidFill>
          </a:ln>
        </c:spPr>
        <c:txPr>
          <a:bodyPr/>
          <a:lstStyle/>
          <a:p>
            <a:pPr>
              <a:defRPr sz="1100"/>
            </a:pPr>
            <a:endParaRPr lang="en-US"/>
          </a:p>
        </c:txPr>
        <c:crossAx val="128857984"/>
        <c:crosses val="autoZero"/>
        <c:auto val="1"/>
        <c:lblAlgn val="ctr"/>
        <c:lblOffset val="100"/>
        <c:noMultiLvlLbl val="0"/>
      </c:catAx>
      <c:valAx>
        <c:axId val="128857984"/>
        <c:scaling>
          <c:orientation val="minMax"/>
          <c:max val="100"/>
          <c:min val="0"/>
        </c:scaling>
        <c:delete val="0"/>
        <c:axPos val="l"/>
        <c:title>
          <c:tx>
            <c:rich>
              <a:bodyPr rot="-5400000" vert="horz"/>
              <a:lstStyle/>
              <a:p>
                <a:pPr>
                  <a:defRPr sz="1100" b="1"/>
                </a:pPr>
                <a:r>
                  <a:rPr lang="en-US" sz="1100" b="1" i="0" u="none" strike="noStrike" baseline="0"/>
                  <a:t>Mean corrected mortality, %</a:t>
                </a:r>
                <a:endParaRPr lang="bg-BG" sz="1100" b="1" i="0" u="none" strike="noStrike" baseline="0"/>
              </a:p>
              <a:p>
                <a:pPr>
                  <a:defRPr sz="1100" b="1"/>
                </a:pPr>
                <a:r>
                  <a:rPr lang="en-US" sz="1100" b="1" i="0" u="none" strike="noStrike" baseline="0"/>
                  <a:t>(± SE)</a:t>
                </a:r>
                <a:endParaRPr lang="bg-BG" sz="1100" b="1"/>
              </a:p>
            </c:rich>
          </c:tx>
          <c:layout>
            <c:manualLayout>
              <c:xMode val="edge"/>
              <c:yMode val="edge"/>
              <c:x val="6.4360287752518539E-3"/>
              <c:y val="9.3402844708390151E-2"/>
            </c:manualLayout>
          </c:layout>
          <c:overlay val="0"/>
        </c:title>
        <c:numFmt formatCode="0" sourceLinked="0"/>
        <c:majorTickMark val="out"/>
        <c:minorTickMark val="none"/>
        <c:tickLblPos val="nextTo"/>
        <c:spPr>
          <a:ln w="9525">
            <a:solidFill>
              <a:schemeClr val="tx1"/>
            </a:solidFill>
          </a:ln>
        </c:spPr>
        <c:txPr>
          <a:bodyPr/>
          <a:lstStyle/>
          <a:p>
            <a:pPr>
              <a:defRPr sz="1100"/>
            </a:pPr>
            <a:endParaRPr lang="en-US"/>
          </a:p>
        </c:txPr>
        <c:crossAx val="128856064"/>
        <c:crosses val="autoZero"/>
        <c:crossBetween val="between"/>
        <c:majorUnit val="20"/>
      </c:valAx>
      <c:spPr>
        <a:noFill/>
        <a:ln>
          <a:solidFill>
            <a:schemeClr val="tx1"/>
          </a:solidFill>
        </a:ln>
      </c:spPr>
    </c:plotArea>
    <c:legend>
      <c:legendPos val="r"/>
      <c:layout>
        <c:manualLayout>
          <c:xMode val="edge"/>
          <c:yMode val="edge"/>
          <c:x val="0.75411351569049689"/>
          <c:y val="0.17609503728642176"/>
          <c:w val="0.20760298686568146"/>
          <c:h val="0.53551060872624168"/>
        </c:manualLayout>
      </c:layout>
      <c:overlay val="0"/>
    </c:legend>
    <c:plotVisOnly val="1"/>
    <c:dispBlanksAs val="gap"/>
    <c:showDLblsOverMax val="0"/>
  </c:chart>
  <c:spPr>
    <a:noFill/>
    <a:ln>
      <a:solidFill>
        <a:schemeClr val="bg1">
          <a:lumMod val="50000"/>
        </a:schemeClr>
      </a:solidFill>
    </a:ln>
  </c:spPr>
  <c:txPr>
    <a:bodyPr/>
    <a:lstStyle/>
    <a:p>
      <a:pPr>
        <a:defRPr sz="800">
          <a:latin typeface="Times New Roman" pitchFamily="18" charset="0"/>
          <a:cs typeface="Times New Roman" pitchFamily="18" charset="0"/>
        </a:defRPr>
      </a:pPr>
      <a:endParaRPr lang="en-US"/>
    </a:p>
  </c:txPr>
  <c:externalData r:id="rId2">
    <c:autoUpdate val="0"/>
  </c:externalData>
  <c:userShapes r:id="rId3"/>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202889421431017"/>
          <c:y val="5.1597039953339169E-2"/>
          <c:w val="0.65822590437064932"/>
          <c:h val="0.75829864743252329"/>
        </c:manualLayout>
      </c:layout>
      <c:lineChart>
        <c:grouping val="standard"/>
        <c:varyColors val="0"/>
        <c:ser>
          <c:idx val="0"/>
          <c:order val="0"/>
          <c:tx>
            <c:strRef>
              <c:f>Фигури!$M$3</c:f>
              <c:strCache>
                <c:ptCount val="1"/>
                <c:pt idx="0">
                  <c:v>2.3 x 107</c:v>
                </c:pt>
              </c:strCache>
            </c:strRef>
          </c:tx>
          <c:spPr>
            <a:ln w="15875">
              <a:solidFill>
                <a:schemeClr val="tx1"/>
              </a:solidFill>
            </a:ln>
          </c:spPr>
          <c:marker>
            <c:symbol val="diamond"/>
            <c:size val="6"/>
            <c:spPr>
              <a:solidFill>
                <a:schemeClr val="bg1"/>
              </a:solidFill>
              <a:ln w="12700">
                <a:solidFill>
                  <a:schemeClr val="tx1"/>
                </a:solidFill>
              </a:ln>
            </c:spPr>
          </c:marker>
          <c:cat>
            <c:numRef>
              <c:f>Фигури!$L$4:$L$13</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Фигури!$M$4:$M$13</c:f>
              <c:numCache>
                <c:formatCode>0.00</c:formatCode>
                <c:ptCount val="10"/>
                <c:pt idx="0">
                  <c:v>100</c:v>
                </c:pt>
                <c:pt idx="1">
                  <c:v>100</c:v>
                </c:pt>
                <c:pt idx="2">
                  <c:v>100</c:v>
                </c:pt>
                <c:pt idx="3">
                  <c:v>100</c:v>
                </c:pt>
                <c:pt idx="4">
                  <c:v>100</c:v>
                </c:pt>
                <c:pt idx="5">
                  <c:v>100</c:v>
                </c:pt>
                <c:pt idx="6">
                  <c:v>100</c:v>
                </c:pt>
                <c:pt idx="7">
                  <c:v>100</c:v>
                </c:pt>
                <c:pt idx="8">
                  <c:v>100</c:v>
                </c:pt>
                <c:pt idx="9">
                  <c:v>100</c:v>
                </c:pt>
              </c:numCache>
            </c:numRef>
          </c:val>
          <c:smooth val="0"/>
          <c:extLst>
            <c:ext xmlns:c16="http://schemas.microsoft.com/office/drawing/2014/chart" uri="{C3380CC4-5D6E-409C-BE32-E72D297353CC}">
              <c16:uniqueId val="{00000000-8ABF-4DE4-98C8-F53414E2EC63}"/>
            </c:ext>
          </c:extLst>
        </c:ser>
        <c:ser>
          <c:idx val="1"/>
          <c:order val="1"/>
          <c:tx>
            <c:strRef>
              <c:f>Фигури!$N$3</c:f>
              <c:strCache>
                <c:ptCount val="1"/>
                <c:pt idx="0">
                  <c:v>2.3 x 106</c:v>
                </c:pt>
              </c:strCache>
            </c:strRef>
          </c:tx>
          <c:spPr>
            <a:ln w="15875">
              <a:solidFill>
                <a:schemeClr val="tx1"/>
              </a:solidFill>
            </a:ln>
          </c:spPr>
          <c:marker>
            <c:symbol val="square"/>
            <c:size val="5"/>
            <c:spPr>
              <a:solidFill>
                <a:schemeClr val="tx1"/>
              </a:solidFill>
              <a:ln>
                <a:solidFill>
                  <a:schemeClr val="tx1"/>
                </a:solidFill>
              </a:ln>
            </c:spPr>
          </c:marker>
          <c:errBars>
            <c:errDir val="y"/>
            <c:errBarType val="both"/>
            <c:errValType val="cust"/>
            <c:noEndCap val="0"/>
            <c:plus>
              <c:numRef>
                <c:f>Фигури!$N$18:$N$27</c:f>
                <c:numCache>
                  <c:formatCode>General</c:formatCode>
                  <c:ptCount val="10"/>
                  <c:pt idx="0">
                    <c:v>3.3333333333333335</c:v>
                  </c:pt>
                  <c:pt idx="1">
                    <c:v>2.8867513459481291</c:v>
                  </c:pt>
                  <c:pt idx="2">
                    <c:v>5.7735026918962582</c:v>
                  </c:pt>
                  <c:pt idx="3">
                    <c:v>2.8867513459481291</c:v>
                  </c:pt>
                  <c:pt idx="4">
                    <c:v>2.8867513459481291</c:v>
                  </c:pt>
                  <c:pt idx="5">
                    <c:v>3.0402483353766523</c:v>
                  </c:pt>
                  <c:pt idx="6">
                    <c:v>1.7543859649122784</c:v>
                  </c:pt>
                  <c:pt idx="7">
                    <c:v>0</c:v>
                  </c:pt>
                  <c:pt idx="8">
                    <c:v>0</c:v>
                  </c:pt>
                  <c:pt idx="9">
                    <c:v>0</c:v>
                  </c:pt>
                </c:numCache>
              </c:numRef>
            </c:plus>
            <c:minus>
              <c:numRef>
                <c:f>Фигури!$N$18:$N$27</c:f>
                <c:numCache>
                  <c:formatCode>General</c:formatCode>
                  <c:ptCount val="10"/>
                  <c:pt idx="0">
                    <c:v>3.3333333333333335</c:v>
                  </c:pt>
                  <c:pt idx="1">
                    <c:v>2.8867513459481291</c:v>
                  </c:pt>
                  <c:pt idx="2">
                    <c:v>5.7735026918962582</c:v>
                  </c:pt>
                  <c:pt idx="3">
                    <c:v>2.8867513459481291</c:v>
                  </c:pt>
                  <c:pt idx="4">
                    <c:v>2.8867513459481291</c:v>
                  </c:pt>
                  <c:pt idx="5">
                    <c:v>3.0402483353766523</c:v>
                  </c:pt>
                  <c:pt idx="6">
                    <c:v>1.7543859649122784</c:v>
                  </c:pt>
                  <c:pt idx="7">
                    <c:v>0</c:v>
                  </c:pt>
                  <c:pt idx="8">
                    <c:v>0</c:v>
                  </c:pt>
                  <c:pt idx="9">
                    <c:v>0</c:v>
                  </c:pt>
                </c:numCache>
              </c:numRef>
            </c:minus>
          </c:errBars>
          <c:cat>
            <c:numRef>
              <c:f>Фигури!$L$4:$L$13</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Фигури!$N$4:$N$13</c:f>
              <c:numCache>
                <c:formatCode>0.00</c:formatCode>
                <c:ptCount val="10"/>
                <c:pt idx="0">
                  <c:v>3.3333333333333335</c:v>
                </c:pt>
                <c:pt idx="1">
                  <c:v>30</c:v>
                </c:pt>
                <c:pt idx="2">
                  <c:v>90</c:v>
                </c:pt>
                <c:pt idx="3">
                  <c:v>95</c:v>
                </c:pt>
                <c:pt idx="4">
                  <c:v>95</c:v>
                </c:pt>
                <c:pt idx="5">
                  <c:v>94.639376218323591</c:v>
                </c:pt>
                <c:pt idx="6">
                  <c:v>98.245614035087726</c:v>
                </c:pt>
                <c:pt idx="7">
                  <c:v>100</c:v>
                </c:pt>
                <c:pt idx="8">
                  <c:v>100</c:v>
                </c:pt>
                <c:pt idx="9">
                  <c:v>100</c:v>
                </c:pt>
              </c:numCache>
            </c:numRef>
          </c:val>
          <c:smooth val="0"/>
          <c:extLst>
            <c:ext xmlns:c16="http://schemas.microsoft.com/office/drawing/2014/chart" uri="{C3380CC4-5D6E-409C-BE32-E72D297353CC}">
              <c16:uniqueId val="{00000001-8ABF-4DE4-98C8-F53414E2EC63}"/>
            </c:ext>
          </c:extLst>
        </c:ser>
        <c:ser>
          <c:idx val="2"/>
          <c:order val="2"/>
          <c:tx>
            <c:strRef>
              <c:f>Фигури!$O$3</c:f>
              <c:strCache>
                <c:ptCount val="1"/>
                <c:pt idx="0">
                  <c:v>2.3 x 105</c:v>
                </c:pt>
              </c:strCache>
            </c:strRef>
          </c:tx>
          <c:spPr>
            <a:ln w="15875">
              <a:solidFill>
                <a:schemeClr val="tx1"/>
              </a:solidFill>
              <a:prstDash val="sysDash"/>
            </a:ln>
          </c:spPr>
          <c:marker>
            <c:symbol val="triangle"/>
            <c:size val="6"/>
            <c:spPr>
              <a:solidFill>
                <a:schemeClr val="bg1"/>
              </a:solidFill>
              <a:ln w="12700">
                <a:solidFill>
                  <a:schemeClr val="tx1"/>
                </a:solidFill>
              </a:ln>
            </c:spPr>
          </c:marker>
          <c:errBars>
            <c:errDir val="y"/>
            <c:errBarType val="both"/>
            <c:errValType val="cust"/>
            <c:noEndCap val="0"/>
            <c:plus>
              <c:numRef>
                <c:f>Фигури!$O$18:$O$27</c:f>
                <c:numCache>
                  <c:formatCode>General</c:formatCode>
                  <c:ptCount val="10"/>
                  <c:pt idx="0">
                    <c:v>4.4095855184409842</c:v>
                  </c:pt>
                  <c:pt idx="1">
                    <c:v>6.6666666666666661</c:v>
                  </c:pt>
                  <c:pt idx="2">
                    <c:v>8.819171036881972</c:v>
                  </c:pt>
                  <c:pt idx="3">
                    <c:v>6.0092521257733331</c:v>
                  </c:pt>
                  <c:pt idx="4">
                    <c:v>8.2414136371179332</c:v>
                  </c:pt>
                  <c:pt idx="5">
                    <c:v>8.6761064656015119</c:v>
                  </c:pt>
                  <c:pt idx="6">
                    <c:v>3.0665960697840311</c:v>
                  </c:pt>
                  <c:pt idx="7">
                    <c:v>1.8518518518518523</c:v>
                  </c:pt>
                  <c:pt idx="8">
                    <c:v>2.0833333333333335</c:v>
                  </c:pt>
                  <c:pt idx="9">
                    <c:v>2.2222222222222237</c:v>
                  </c:pt>
                </c:numCache>
              </c:numRef>
            </c:plus>
            <c:minus>
              <c:numRef>
                <c:f>Фигури!$O$18:$O$27</c:f>
                <c:numCache>
                  <c:formatCode>General</c:formatCode>
                  <c:ptCount val="10"/>
                  <c:pt idx="0">
                    <c:v>4.4095855184409842</c:v>
                  </c:pt>
                  <c:pt idx="1">
                    <c:v>6.6666666666666661</c:v>
                  </c:pt>
                  <c:pt idx="2">
                    <c:v>8.819171036881972</c:v>
                  </c:pt>
                  <c:pt idx="3">
                    <c:v>6.0092521257733331</c:v>
                  </c:pt>
                  <c:pt idx="4">
                    <c:v>8.2414136371179332</c:v>
                  </c:pt>
                  <c:pt idx="5">
                    <c:v>8.6761064656015119</c:v>
                  </c:pt>
                  <c:pt idx="6">
                    <c:v>3.0665960697840311</c:v>
                  </c:pt>
                  <c:pt idx="7">
                    <c:v>1.8518518518518523</c:v>
                  </c:pt>
                  <c:pt idx="8">
                    <c:v>2.0833333333333335</c:v>
                  </c:pt>
                  <c:pt idx="9">
                    <c:v>2.2222222222222237</c:v>
                  </c:pt>
                </c:numCache>
              </c:numRef>
            </c:minus>
          </c:errBars>
          <c:cat>
            <c:numRef>
              <c:f>Фигури!$L$4:$L$13</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Фигури!$O$4:$O$13</c:f>
              <c:numCache>
                <c:formatCode>0.00</c:formatCode>
                <c:ptCount val="10"/>
                <c:pt idx="0">
                  <c:v>6.666666666666667</c:v>
                </c:pt>
                <c:pt idx="1">
                  <c:v>31.666666666666668</c:v>
                </c:pt>
                <c:pt idx="2">
                  <c:v>51.666666666666664</c:v>
                </c:pt>
                <c:pt idx="3">
                  <c:v>76.666666666666671</c:v>
                </c:pt>
                <c:pt idx="4">
                  <c:v>79.385964912280699</c:v>
                </c:pt>
                <c:pt idx="5">
                  <c:v>80.50682261208577</c:v>
                </c:pt>
                <c:pt idx="6">
                  <c:v>89.06088751289991</c:v>
                </c:pt>
                <c:pt idx="7">
                  <c:v>98.148148148148152</c:v>
                </c:pt>
                <c:pt idx="8">
                  <c:v>97.916666666666671</c:v>
                </c:pt>
                <c:pt idx="9">
                  <c:v>97.777777777777771</c:v>
                </c:pt>
              </c:numCache>
            </c:numRef>
          </c:val>
          <c:smooth val="0"/>
          <c:extLst>
            <c:ext xmlns:c16="http://schemas.microsoft.com/office/drawing/2014/chart" uri="{C3380CC4-5D6E-409C-BE32-E72D297353CC}">
              <c16:uniqueId val="{00000002-8ABF-4DE4-98C8-F53414E2EC63}"/>
            </c:ext>
          </c:extLst>
        </c:ser>
        <c:ser>
          <c:idx val="3"/>
          <c:order val="3"/>
          <c:tx>
            <c:strRef>
              <c:f>Фигури!$P$3</c:f>
              <c:strCache>
                <c:ptCount val="1"/>
                <c:pt idx="0">
                  <c:v>2.3 x 104</c:v>
                </c:pt>
              </c:strCache>
            </c:strRef>
          </c:tx>
          <c:spPr>
            <a:ln w="15875">
              <a:solidFill>
                <a:schemeClr val="tx1"/>
              </a:solidFill>
              <a:prstDash val="dash"/>
            </a:ln>
          </c:spPr>
          <c:marker>
            <c:symbol val="diamond"/>
            <c:size val="6"/>
            <c:spPr>
              <a:solidFill>
                <a:schemeClr val="tx1"/>
              </a:solidFill>
              <a:ln>
                <a:solidFill>
                  <a:schemeClr val="tx1"/>
                </a:solidFill>
              </a:ln>
            </c:spPr>
          </c:marker>
          <c:errBars>
            <c:errDir val="y"/>
            <c:errBarType val="both"/>
            <c:errValType val="cust"/>
            <c:noEndCap val="0"/>
            <c:plus>
              <c:numRef>
                <c:f>Фигури!$P$18:$P$27</c:f>
                <c:numCache>
                  <c:formatCode>General</c:formatCode>
                  <c:ptCount val="10"/>
                  <c:pt idx="0">
                    <c:v>0</c:v>
                  </c:pt>
                  <c:pt idx="1">
                    <c:v>1.666666666666665</c:v>
                  </c:pt>
                  <c:pt idx="2">
                    <c:v>1.666666666666667</c:v>
                  </c:pt>
                  <c:pt idx="3">
                    <c:v>1.6666666666666667</c:v>
                  </c:pt>
                  <c:pt idx="4">
                    <c:v>3.0726806821292971</c:v>
                  </c:pt>
                  <c:pt idx="5">
                    <c:v>2.3391812865497084</c:v>
                  </c:pt>
                  <c:pt idx="6">
                    <c:v>2.2820788841585147</c:v>
                  </c:pt>
                  <c:pt idx="7">
                    <c:v>1.9607843137254881</c:v>
                  </c:pt>
                  <c:pt idx="8">
                    <c:v>2.0833333333333335</c:v>
                  </c:pt>
                  <c:pt idx="9">
                    <c:v>2.2222222222222237</c:v>
                  </c:pt>
                </c:numCache>
              </c:numRef>
            </c:plus>
            <c:minus>
              <c:numRef>
                <c:f>Фигури!$P$18:$P$27</c:f>
                <c:numCache>
                  <c:formatCode>General</c:formatCode>
                  <c:ptCount val="10"/>
                  <c:pt idx="0">
                    <c:v>0</c:v>
                  </c:pt>
                  <c:pt idx="1">
                    <c:v>1.666666666666665</c:v>
                  </c:pt>
                  <c:pt idx="2">
                    <c:v>1.666666666666667</c:v>
                  </c:pt>
                  <c:pt idx="3">
                    <c:v>1.6666666666666667</c:v>
                  </c:pt>
                  <c:pt idx="4">
                    <c:v>3.0726806821292971</c:v>
                  </c:pt>
                  <c:pt idx="5">
                    <c:v>2.3391812865497084</c:v>
                  </c:pt>
                  <c:pt idx="6">
                    <c:v>2.2820788841585147</c:v>
                  </c:pt>
                  <c:pt idx="7">
                    <c:v>1.9607843137254881</c:v>
                  </c:pt>
                  <c:pt idx="8">
                    <c:v>2.0833333333333335</c:v>
                  </c:pt>
                  <c:pt idx="9">
                    <c:v>2.2222222222222237</c:v>
                  </c:pt>
                </c:numCache>
              </c:numRef>
            </c:minus>
          </c:errBars>
          <c:cat>
            <c:numRef>
              <c:f>Фигури!$L$4:$L$13</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Фигури!$P$4:$P$13</c:f>
              <c:numCache>
                <c:formatCode>0.00</c:formatCode>
                <c:ptCount val="10"/>
                <c:pt idx="0">
                  <c:v>0</c:v>
                </c:pt>
                <c:pt idx="1">
                  <c:v>16.666666666666668</c:v>
                </c:pt>
                <c:pt idx="2">
                  <c:v>28.333333333333332</c:v>
                </c:pt>
                <c:pt idx="3">
                  <c:v>43.333333333333336</c:v>
                </c:pt>
                <c:pt idx="4">
                  <c:v>61.05263157894737</c:v>
                </c:pt>
                <c:pt idx="5">
                  <c:v>71.345029239766077</c:v>
                </c:pt>
                <c:pt idx="6">
                  <c:v>79.87616099071208</c:v>
                </c:pt>
                <c:pt idx="7">
                  <c:v>98.039215686274517</c:v>
                </c:pt>
                <c:pt idx="8">
                  <c:v>97.916666666666671</c:v>
                </c:pt>
                <c:pt idx="9">
                  <c:v>97.777777777777771</c:v>
                </c:pt>
              </c:numCache>
            </c:numRef>
          </c:val>
          <c:smooth val="0"/>
          <c:extLst>
            <c:ext xmlns:c16="http://schemas.microsoft.com/office/drawing/2014/chart" uri="{C3380CC4-5D6E-409C-BE32-E72D297353CC}">
              <c16:uniqueId val="{00000003-8ABF-4DE4-98C8-F53414E2EC63}"/>
            </c:ext>
          </c:extLst>
        </c:ser>
        <c:ser>
          <c:idx val="4"/>
          <c:order val="4"/>
          <c:tx>
            <c:strRef>
              <c:f>Фигури!$Q$3</c:f>
              <c:strCache>
                <c:ptCount val="1"/>
                <c:pt idx="0">
                  <c:v>2.3 x 103</c:v>
                </c:pt>
              </c:strCache>
            </c:strRef>
          </c:tx>
          <c:spPr>
            <a:ln w="15875">
              <a:solidFill>
                <a:schemeClr val="tx1"/>
              </a:solidFill>
              <a:prstDash val="sysDot"/>
            </a:ln>
          </c:spPr>
          <c:marker>
            <c:symbol val="circle"/>
            <c:size val="6"/>
            <c:spPr>
              <a:solidFill>
                <a:schemeClr val="bg1"/>
              </a:solidFill>
              <a:ln>
                <a:solidFill>
                  <a:schemeClr val="tx1"/>
                </a:solidFill>
              </a:ln>
            </c:spPr>
          </c:marker>
          <c:errBars>
            <c:errDir val="y"/>
            <c:errBarType val="both"/>
            <c:errValType val="cust"/>
            <c:noEndCap val="0"/>
            <c:plus>
              <c:numRef>
                <c:f>Фигури!$Q$18:$Q$27</c:f>
                <c:numCache>
                  <c:formatCode>General</c:formatCode>
                  <c:ptCount val="10"/>
                  <c:pt idx="0">
                    <c:v>0</c:v>
                  </c:pt>
                  <c:pt idx="1">
                    <c:v>4.4095855184409842</c:v>
                  </c:pt>
                  <c:pt idx="2">
                    <c:v>5.7735026918962582</c:v>
                  </c:pt>
                  <c:pt idx="3">
                    <c:v>6.0092521257733145</c:v>
                  </c:pt>
                  <c:pt idx="4">
                    <c:v>0.9649122807017535</c:v>
                  </c:pt>
                  <c:pt idx="5">
                    <c:v>4.8174184624784537</c:v>
                  </c:pt>
                  <c:pt idx="6">
                    <c:v>2.2820788841585147</c:v>
                  </c:pt>
                  <c:pt idx="7">
                    <c:v>5.2094323316855506</c:v>
                  </c:pt>
                  <c:pt idx="8">
                    <c:v>2.0833333333333335</c:v>
                  </c:pt>
                  <c:pt idx="9">
                    <c:v>0</c:v>
                  </c:pt>
                </c:numCache>
              </c:numRef>
            </c:plus>
            <c:minus>
              <c:numRef>
                <c:f>Фигури!$Q$18:$Q$27</c:f>
                <c:numCache>
                  <c:formatCode>General</c:formatCode>
                  <c:ptCount val="10"/>
                  <c:pt idx="0">
                    <c:v>0</c:v>
                  </c:pt>
                  <c:pt idx="1">
                    <c:v>4.4095855184409842</c:v>
                  </c:pt>
                  <c:pt idx="2">
                    <c:v>5.7735026918962582</c:v>
                  </c:pt>
                  <c:pt idx="3">
                    <c:v>6.0092521257733145</c:v>
                  </c:pt>
                  <c:pt idx="4">
                    <c:v>0.9649122807017535</c:v>
                  </c:pt>
                  <c:pt idx="5">
                    <c:v>4.8174184624784537</c:v>
                  </c:pt>
                  <c:pt idx="6">
                    <c:v>2.2820788841585147</c:v>
                  </c:pt>
                  <c:pt idx="7">
                    <c:v>5.2094323316855506</c:v>
                  </c:pt>
                  <c:pt idx="8">
                    <c:v>2.0833333333333335</c:v>
                  </c:pt>
                  <c:pt idx="9">
                    <c:v>0</c:v>
                  </c:pt>
                </c:numCache>
              </c:numRef>
            </c:minus>
          </c:errBars>
          <c:cat>
            <c:numRef>
              <c:f>Фигури!$L$4:$L$13</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Фигури!$Q$4:$Q$13</c:f>
              <c:numCache>
                <c:formatCode>0.00</c:formatCode>
                <c:ptCount val="10"/>
                <c:pt idx="0">
                  <c:v>0</c:v>
                </c:pt>
                <c:pt idx="1">
                  <c:v>16.666666666666668</c:v>
                </c:pt>
                <c:pt idx="2">
                  <c:v>20</c:v>
                </c:pt>
                <c:pt idx="3">
                  <c:v>33.333333333333336</c:v>
                </c:pt>
                <c:pt idx="4">
                  <c:v>55.964912280701753</c:v>
                </c:pt>
                <c:pt idx="5">
                  <c:v>64.230019493177394</c:v>
                </c:pt>
                <c:pt idx="6">
                  <c:v>79.87616099071208</c:v>
                </c:pt>
                <c:pt idx="7">
                  <c:v>92.265795206971688</c:v>
                </c:pt>
                <c:pt idx="8">
                  <c:v>95.833333333333329</c:v>
                </c:pt>
                <c:pt idx="9">
                  <c:v>100</c:v>
                </c:pt>
              </c:numCache>
            </c:numRef>
          </c:val>
          <c:smooth val="0"/>
          <c:extLst>
            <c:ext xmlns:c16="http://schemas.microsoft.com/office/drawing/2014/chart" uri="{C3380CC4-5D6E-409C-BE32-E72D297353CC}">
              <c16:uniqueId val="{00000004-8ABF-4DE4-98C8-F53414E2EC63}"/>
            </c:ext>
          </c:extLst>
        </c:ser>
        <c:ser>
          <c:idx val="5"/>
          <c:order val="5"/>
          <c:tx>
            <c:strRef>
              <c:f>Фигури!$R$3</c:f>
              <c:strCache>
                <c:ptCount val="1"/>
                <c:pt idx="0">
                  <c:v>2.3 x 102</c:v>
                </c:pt>
              </c:strCache>
            </c:strRef>
          </c:tx>
          <c:spPr>
            <a:ln w="15875">
              <a:solidFill>
                <a:schemeClr val="tx1"/>
              </a:solidFill>
              <a:prstDash val="lgDash"/>
            </a:ln>
          </c:spPr>
          <c:marker>
            <c:symbol val="star"/>
            <c:size val="6"/>
            <c:spPr>
              <a:noFill/>
              <a:ln>
                <a:solidFill>
                  <a:schemeClr val="tx1"/>
                </a:solidFill>
              </a:ln>
            </c:spPr>
          </c:marker>
          <c:errBars>
            <c:errDir val="y"/>
            <c:errBarType val="both"/>
            <c:errValType val="cust"/>
            <c:noEndCap val="0"/>
            <c:plus>
              <c:numRef>
                <c:f>Фигури!$R$18:$R$27</c:f>
                <c:numCache>
                  <c:formatCode>General</c:formatCode>
                  <c:ptCount val="10"/>
                  <c:pt idx="0">
                    <c:v>0</c:v>
                  </c:pt>
                  <c:pt idx="1">
                    <c:v>2.8867513459481291</c:v>
                  </c:pt>
                  <c:pt idx="2">
                    <c:v>6.6666666666666679</c:v>
                  </c:pt>
                  <c:pt idx="3">
                    <c:v>5.7735026918962582</c:v>
                  </c:pt>
                  <c:pt idx="4">
                    <c:v>4.6242299484551603</c:v>
                  </c:pt>
                  <c:pt idx="5">
                    <c:v>7.0849052028796322</c:v>
                  </c:pt>
                  <c:pt idx="6">
                    <c:v>2.7863777089783262</c:v>
                  </c:pt>
                  <c:pt idx="7">
                    <c:v>5.2705753391733969</c:v>
                  </c:pt>
                  <c:pt idx="8">
                    <c:v>5.5119818980512312</c:v>
                  </c:pt>
                  <c:pt idx="9">
                    <c:v>2.2222222222222237</c:v>
                  </c:pt>
                </c:numCache>
              </c:numRef>
            </c:plus>
            <c:minus>
              <c:numRef>
                <c:f>Фигури!$R$18:$R$27</c:f>
                <c:numCache>
                  <c:formatCode>General</c:formatCode>
                  <c:ptCount val="10"/>
                  <c:pt idx="0">
                    <c:v>0</c:v>
                  </c:pt>
                  <c:pt idx="1">
                    <c:v>2.8867513459481291</c:v>
                  </c:pt>
                  <c:pt idx="2">
                    <c:v>6.6666666666666679</c:v>
                  </c:pt>
                  <c:pt idx="3">
                    <c:v>5.7735026918962582</c:v>
                  </c:pt>
                  <c:pt idx="4">
                    <c:v>4.6242299484551603</c:v>
                  </c:pt>
                  <c:pt idx="5">
                    <c:v>7.0849052028796322</c:v>
                  </c:pt>
                  <c:pt idx="6">
                    <c:v>2.7863777089783262</c:v>
                  </c:pt>
                  <c:pt idx="7">
                    <c:v>5.2705753391733969</c:v>
                  </c:pt>
                  <c:pt idx="8">
                    <c:v>5.5119818980512312</c:v>
                  </c:pt>
                  <c:pt idx="9">
                    <c:v>2.2222222222222237</c:v>
                  </c:pt>
                </c:numCache>
              </c:numRef>
            </c:minus>
          </c:errBars>
          <c:cat>
            <c:numRef>
              <c:f>Фигури!$L$4:$L$13</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Фигури!$R$4:$R$13</c:f>
              <c:numCache>
                <c:formatCode>0.00</c:formatCode>
                <c:ptCount val="10"/>
                <c:pt idx="0">
                  <c:v>0</c:v>
                </c:pt>
                <c:pt idx="1">
                  <c:v>15</c:v>
                </c:pt>
                <c:pt idx="2">
                  <c:v>23.333333333333332</c:v>
                </c:pt>
                <c:pt idx="3">
                  <c:v>35</c:v>
                </c:pt>
                <c:pt idx="4">
                  <c:v>55.877192982456137</c:v>
                </c:pt>
                <c:pt idx="5">
                  <c:v>69.395711500974656</c:v>
                </c:pt>
                <c:pt idx="6">
                  <c:v>76.160990712074309</c:v>
                </c:pt>
                <c:pt idx="7">
                  <c:v>86.38344226579521</c:v>
                </c:pt>
                <c:pt idx="8">
                  <c:v>91.666666666666671</c:v>
                </c:pt>
                <c:pt idx="9">
                  <c:v>95.555555555555543</c:v>
                </c:pt>
              </c:numCache>
            </c:numRef>
          </c:val>
          <c:smooth val="0"/>
          <c:extLst>
            <c:ext xmlns:c16="http://schemas.microsoft.com/office/drawing/2014/chart" uri="{C3380CC4-5D6E-409C-BE32-E72D297353CC}">
              <c16:uniqueId val="{00000005-8ABF-4DE4-98C8-F53414E2EC63}"/>
            </c:ext>
          </c:extLst>
        </c:ser>
        <c:dLbls>
          <c:showLegendKey val="0"/>
          <c:showVal val="0"/>
          <c:showCatName val="0"/>
          <c:showSerName val="0"/>
          <c:showPercent val="0"/>
          <c:showBubbleSize val="0"/>
        </c:dLbls>
        <c:marker val="1"/>
        <c:smooth val="0"/>
        <c:axId val="129021056"/>
        <c:axId val="129022976"/>
      </c:lineChart>
      <c:catAx>
        <c:axId val="129021056"/>
        <c:scaling>
          <c:orientation val="minMax"/>
        </c:scaling>
        <c:delete val="0"/>
        <c:axPos val="b"/>
        <c:title>
          <c:tx>
            <c:rich>
              <a:bodyPr/>
              <a:lstStyle/>
              <a:p>
                <a:pPr>
                  <a:defRPr sz="1100" b="1"/>
                </a:pPr>
                <a:r>
                  <a:rPr lang="en-US" sz="1100" b="1" i="0" u="none" strike="noStrike" baseline="0"/>
                  <a:t>Days after treatment</a:t>
                </a:r>
                <a:endParaRPr lang="en-US" sz="1100" b="1"/>
              </a:p>
            </c:rich>
          </c:tx>
          <c:layout>
            <c:manualLayout>
              <c:xMode val="edge"/>
              <c:yMode val="edge"/>
              <c:x val="0.35355928335045078"/>
              <c:y val="0.9058381068496405"/>
            </c:manualLayout>
          </c:layout>
          <c:overlay val="0"/>
        </c:title>
        <c:numFmt formatCode="General" sourceLinked="1"/>
        <c:majorTickMark val="out"/>
        <c:minorTickMark val="none"/>
        <c:tickLblPos val="nextTo"/>
        <c:spPr>
          <a:ln>
            <a:solidFill>
              <a:schemeClr val="tx1"/>
            </a:solidFill>
          </a:ln>
        </c:spPr>
        <c:crossAx val="129022976"/>
        <c:crosses val="autoZero"/>
        <c:auto val="1"/>
        <c:lblAlgn val="ctr"/>
        <c:lblOffset val="100"/>
        <c:noMultiLvlLbl val="0"/>
      </c:catAx>
      <c:valAx>
        <c:axId val="129022976"/>
        <c:scaling>
          <c:orientation val="minMax"/>
          <c:max val="100"/>
        </c:scaling>
        <c:delete val="0"/>
        <c:axPos val="l"/>
        <c:title>
          <c:tx>
            <c:rich>
              <a:bodyPr rot="-5400000" vert="horz"/>
              <a:lstStyle/>
              <a:p>
                <a:pPr>
                  <a:defRPr sz="1100" b="1"/>
                </a:pPr>
                <a:r>
                  <a:rPr lang="en-US" sz="1100" b="1" i="0" u="none" strike="noStrike" baseline="0"/>
                  <a:t>Mean corrected mortality, %</a:t>
                </a:r>
                <a:endParaRPr lang="bg-BG" sz="1100" b="1" i="0" u="none" strike="noStrike" kern="1200" baseline="0">
                  <a:solidFill>
                    <a:sysClr val="windowText" lastClr="000000"/>
                  </a:solidFill>
                  <a:latin typeface="Times New Roman" pitchFamily="18" charset="0"/>
                  <a:ea typeface="+mn-ea"/>
                  <a:cs typeface="Times New Roman" pitchFamily="18" charset="0"/>
                </a:endParaRPr>
              </a:p>
              <a:p>
                <a:pPr>
                  <a:defRPr sz="1100" b="1"/>
                </a:pPr>
                <a:r>
                  <a:rPr lang="en-US" sz="1100" b="1" i="0" u="none" strike="noStrike" baseline="0"/>
                  <a:t>(± SE)</a:t>
                </a:r>
                <a:endParaRPr lang="en-US" sz="1100" b="1"/>
              </a:p>
            </c:rich>
          </c:tx>
          <c:layout>
            <c:manualLayout>
              <c:xMode val="edge"/>
              <c:yMode val="edge"/>
              <c:x val="2.3174452381387357E-3"/>
              <c:y val="9.8435039370078747E-2"/>
            </c:manualLayout>
          </c:layout>
          <c:overlay val="0"/>
        </c:title>
        <c:numFmt formatCode="0" sourceLinked="0"/>
        <c:majorTickMark val="out"/>
        <c:minorTickMark val="none"/>
        <c:tickLblPos val="nextTo"/>
        <c:spPr>
          <a:ln>
            <a:solidFill>
              <a:schemeClr val="tx1"/>
            </a:solidFill>
          </a:ln>
        </c:spPr>
        <c:crossAx val="129021056"/>
        <c:crosses val="autoZero"/>
        <c:crossBetween val="between"/>
        <c:majorUnit val="20"/>
      </c:valAx>
      <c:spPr>
        <a:noFill/>
        <a:ln>
          <a:solidFill>
            <a:schemeClr val="bg1">
              <a:lumMod val="50000"/>
            </a:schemeClr>
          </a:solidFill>
        </a:ln>
      </c:spPr>
    </c:plotArea>
    <c:legend>
      <c:legendPos val="r"/>
      <c:layout>
        <c:manualLayout>
          <c:xMode val="edge"/>
          <c:yMode val="edge"/>
          <c:x val="0.77793595800524939"/>
          <c:y val="0.21048330243690475"/>
          <c:w val="0.2081509985164898"/>
          <c:h val="0.50419311627364571"/>
        </c:manualLayout>
      </c:layout>
      <c:overlay val="0"/>
    </c:legend>
    <c:plotVisOnly val="1"/>
    <c:dispBlanksAs val="gap"/>
    <c:showDLblsOverMax val="0"/>
  </c:chart>
  <c:spPr>
    <a:noFill/>
    <a:ln>
      <a:solidFill>
        <a:sysClr val="window" lastClr="FFFFFF">
          <a:lumMod val="50000"/>
        </a:sysClr>
      </a:solidFill>
    </a:ln>
  </c:spPr>
  <c:txPr>
    <a:bodyPr/>
    <a:lstStyle/>
    <a:p>
      <a:pPr>
        <a:defRPr sz="1000">
          <a:latin typeface="Times New Roman" pitchFamily="18" charset="0"/>
          <a:cs typeface="Times New Roman" pitchFamily="18" charset="0"/>
        </a:defRPr>
      </a:pPr>
      <a:endParaRPr lang="en-US"/>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0.18438</cdr:x>
      <cdr:y>0.66944</cdr:y>
    </cdr:from>
    <cdr:to>
      <cdr:x>0.21094</cdr:x>
      <cdr:y>0.7425</cdr:y>
    </cdr:to>
    <cdr:sp macro="" textlink="">
      <cdr:nvSpPr>
        <cdr:cNvPr id="8" name="TextBox 6"/>
        <cdr:cNvSpPr txBox="1"/>
      </cdr:nvSpPr>
      <cdr:spPr>
        <a:xfrm xmlns:a="http://schemas.openxmlformats.org/drawingml/2006/main">
          <a:off x="1123965" y="2295510"/>
          <a:ext cx="161910" cy="250523"/>
        </a:xfrm>
        <a:prstGeom xmlns:a="http://schemas.openxmlformats.org/drawingml/2006/main" prst="rect">
          <a:avLst/>
        </a:prstGeom>
        <a:solidFill xmlns:a="http://schemas.openxmlformats.org/drawingml/2006/main">
          <a:sysClr val="window" lastClr="FFFFFF"/>
        </a:solidFill>
        <a:ln xmlns:a="http://schemas.openxmlformats.org/drawingml/2006/main" w="9525"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ctr"/>
          <a:r>
            <a:rPr lang="en-US" sz="1200" b="0">
              <a:latin typeface="Times New Roman" pitchFamily="18" charset="0"/>
              <a:cs typeface="Times New Roman" pitchFamily="18" charset="0"/>
            </a:rPr>
            <a:t>x</a:t>
          </a:r>
        </a:p>
      </cdr:txBody>
    </cdr:sp>
  </cdr:relSizeAnchor>
  <cdr:relSizeAnchor xmlns:cdr="http://schemas.openxmlformats.org/drawingml/2006/chartDrawing">
    <cdr:from>
      <cdr:x>0.88594</cdr:x>
      <cdr:y>0.66944</cdr:y>
    </cdr:from>
    <cdr:to>
      <cdr:x>0.8875</cdr:x>
      <cdr:y>0.75</cdr:y>
    </cdr:to>
    <cdr:sp macro="" textlink="">
      <cdr:nvSpPr>
        <cdr:cNvPr id="13" name="Straight Arrow Connector 12"/>
        <cdr:cNvSpPr/>
      </cdr:nvSpPr>
      <cdr:spPr>
        <a:xfrm xmlns:a="http://schemas.openxmlformats.org/drawingml/2006/main">
          <a:off x="5400660" y="2295525"/>
          <a:ext cx="9570" cy="276240"/>
        </a:xfrm>
        <a:prstGeom xmlns:a="http://schemas.openxmlformats.org/drawingml/2006/main" prst="straightConnector1">
          <a:avLst/>
        </a:prstGeom>
        <a:noFill xmlns:a="http://schemas.openxmlformats.org/drawingml/2006/main"/>
        <a:ln xmlns:a="http://schemas.openxmlformats.org/drawingml/2006/main" w="9525" cap="flat" cmpd="sng" algn="ctr">
          <a:solidFill>
            <a:sysClr val="windowText" lastClr="000000"/>
          </a:solidFill>
          <a:prstDash val="solid"/>
          <a:tailEnd type="stealth" w="med" len="lg"/>
        </a:ln>
        <a:effectLst xmlns:a="http://schemas.openxmlformats.org/drawingml/2006/mai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endParaRPr lang="en-US"/>
        </a:p>
      </cdr:txBody>
    </cdr:sp>
  </cdr:relSizeAnchor>
  <cdr:relSizeAnchor xmlns:cdr="http://schemas.openxmlformats.org/drawingml/2006/chartDrawing">
    <cdr:from>
      <cdr:x>0.12656</cdr:x>
      <cdr:y>0.675</cdr:y>
    </cdr:from>
    <cdr:to>
      <cdr:x>0.12813</cdr:x>
      <cdr:y>0.75556</cdr:y>
    </cdr:to>
    <cdr:sp macro="" textlink="">
      <cdr:nvSpPr>
        <cdr:cNvPr id="14" name="Straight Arrow Connector 13"/>
        <cdr:cNvSpPr/>
      </cdr:nvSpPr>
      <cdr:spPr>
        <a:xfrm xmlns:a="http://schemas.openxmlformats.org/drawingml/2006/main">
          <a:off x="771525" y="2314575"/>
          <a:ext cx="9525" cy="276225"/>
        </a:xfrm>
        <a:prstGeom xmlns:a="http://schemas.openxmlformats.org/drawingml/2006/main" prst="straightConnector1">
          <a:avLst/>
        </a:prstGeom>
        <a:noFill xmlns:a="http://schemas.openxmlformats.org/drawingml/2006/main"/>
        <a:ln xmlns:a="http://schemas.openxmlformats.org/drawingml/2006/main" w="9525" cap="flat" cmpd="sng" algn="ctr">
          <a:solidFill>
            <a:sysClr val="windowText" lastClr="000000"/>
          </a:solidFill>
          <a:prstDash val="solid"/>
          <a:tailEnd type="stealth" w="med" len="lg"/>
        </a:ln>
        <a:effectLst xmlns:a="http://schemas.openxmlformats.org/drawingml/2006/mai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endParaRPr lang="en-US"/>
        </a:p>
      </cdr:txBody>
    </cdr:sp>
  </cdr:relSizeAnchor>
  <cdr:relSizeAnchor xmlns:cdr="http://schemas.openxmlformats.org/drawingml/2006/chartDrawing">
    <cdr:from>
      <cdr:x>0.29765</cdr:x>
      <cdr:y>0.05556</cdr:y>
    </cdr:from>
    <cdr:to>
      <cdr:x>0.58594</cdr:x>
      <cdr:y>0.12862</cdr:y>
    </cdr:to>
    <cdr:sp macro="" textlink="">
      <cdr:nvSpPr>
        <cdr:cNvPr id="15" name="TextBox 6"/>
        <cdr:cNvSpPr txBox="1"/>
      </cdr:nvSpPr>
      <cdr:spPr>
        <a:xfrm xmlns:a="http://schemas.openxmlformats.org/drawingml/2006/main">
          <a:off x="1714500" y="180002"/>
          <a:ext cx="1660564" cy="236697"/>
        </a:xfrm>
        <a:prstGeom xmlns:a="http://schemas.openxmlformats.org/drawingml/2006/main" prst="rect">
          <a:avLst/>
        </a:prstGeom>
        <a:solidFill xmlns:a="http://schemas.openxmlformats.org/drawingml/2006/main">
          <a:sysClr val="window" lastClr="FFFFFF"/>
        </a:solidFill>
        <a:ln xmlns:a="http://schemas.openxmlformats.org/drawingml/2006/main" w="9525" cmpd="sng">
          <a:solidFill>
            <a:schemeClr val="bg1">
              <a:lumMod val="75000"/>
            </a:schemeClr>
          </a:solid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l"/>
          <a:r>
            <a:rPr lang="en-US" sz="1200"/>
            <a:t>Traps with lures</a:t>
          </a:r>
          <a:endParaRPr lang="en-US" sz="1200" b="0">
            <a:latin typeface="Times New Roman" pitchFamily="18" charset="0"/>
            <a:cs typeface="Times New Roman" pitchFamily="18" charset="0"/>
          </a:endParaRPr>
        </a:p>
      </cdr:txBody>
    </cdr:sp>
  </cdr:relSizeAnchor>
  <cdr:relSizeAnchor xmlns:cdr="http://schemas.openxmlformats.org/drawingml/2006/chartDrawing">
    <cdr:from>
      <cdr:x>0.30757</cdr:x>
      <cdr:y>0.13889</cdr:y>
    </cdr:from>
    <cdr:to>
      <cdr:x>0.55312</cdr:x>
      <cdr:y>0.21111</cdr:y>
    </cdr:to>
    <cdr:sp macro="" textlink="">
      <cdr:nvSpPr>
        <cdr:cNvPr id="4" name="TextBox 3"/>
        <cdr:cNvSpPr txBox="1"/>
      </cdr:nvSpPr>
      <cdr:spPr>
        <a:xfrm xmlns:a="http://schemas.openxmlformats.org/drawingml/2006/main">
          <a:off x="1771650" y="449972"/>
          <a:ext cx="1414368" cy="23397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r>
            <a:rPr lang="en-US"/>
            <a:t>Total catch: 429 individuals</a:t>
          </a:r>
          <a:endParaRPr lang="bg-BG" sz="1100"/>
        </a:p>
      </cdr:txBody>
    </cdr:sp>
  </cdr:relSizeAnchor>
</c:userShapes>
</file>

<file path=word/drawings/drawing2.xml><?xml version="1.0" encoding="utf-8"?>
<c:userShapes xmlns:c="http://schemas.openxmlformats.org/drawingml/2006/chart">
  <cdr:relSizeAnchor xmlns:cdr="http://schemas.openxmlformats.org/drawingml/2006/chartDrawing">
    <cdr:from>
      <cdr:x>0.83386</cdr:x>
      <cdr:y>0.05882</cdr:y>
    </cdr:from>
    <cdr:to>
      <cdr:x>1</cdr:x>
      <cdr:y>0.18487</cdr:y>
    </cdr:to>
    <cdr:sp macro="" textlink="">
      <cdr:nvSpPr>
        <cdr:cNvPr id="2" name="TextBox 1"/>
        <cdr:cNvSpPr txBox="1"/>
      </cdr:nvSpPr>
      <cdr:spPr>
        <a:xfrm xmlns:a="http://schemas.openxmlformats.org/drawingml/2006/main">
          <a:off x="3812388" y="200025"/>
          <a:ext cx="759611" cy="4286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b="1" dirty="0" smtClean="0">
              <a:latin typeface="Times New Roman" panose="02020603050405020304" pitchFamily="18" charset="0"/>
              <a:cs typeface="Times New Roman" panose="02020603050405020304" pitchFamily="18" charset="0"/>
            </a:rPr>
            <a:t>µl/ml</a:t>
          </a:r>
          <a:endParaRPr lang="bg-BG" sz="1100" b="1" dirty="0">
            <a:latin typeface="Times New Roman" panose="02020603050405020304" pitchFamily="18" charset="0"/>
            <a:cs typeface="Times New Roman" panose="02020603050405020304" pitchFamily="18"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0.83112</cdr:x>
      <cdr:y>0.07656</cdr:y>
    </cdr:from>
    <cdr:to>
      <cdr:x>0.99454</cdr:x>
      <cdr:y>0.20261</cdr:y>
    </cdr:to>
    <cdr:sp macro="" textlink="">
      <cdr:nvSpPr>
        <cdr:cNvPr id="2" name="TextBox 1"/>
        <cdr:cNvSpPr txBox="1"/>
      </cdr:nvSpPr>
      <cdr:spPr>
        <a:xfrm xmlns:a="http://schemas.openxmlformats.org/drawingml/2006/main">
          <a:off x="3863188" y="219299"/>
          <a:ext cx="759611" cy="36106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dirty="0" smtClean="0"/>
            <a:t>µl/ml</a:t>
          </a:r>
          <a:endParaRPr lang="bg-BG" sz="1100" b="1" dirty="0"/>
        </a:p>
      </cdr:txBody>
    </cdr:sp>
  </cdr:relSizeAnchor>
</c:userShapes>
</file>

<file path=word/drawings/drawing4.xml><?xml version="1.0" encoding="utf-8"?>
<c:userShapes xmlns:c="http://schemas.openxmlformats.org/drawingml/2006/chart">
  <cdr:relSizeAnchor xmlns:cdr="http://schemas.openxmlformats.org/drawingml/2006/chartDrawing">
    <cdr:from>
      <cdr:x>0.12974</cdr:x>
      <cdr:y>0.07587</cdr:y>
    </cdr:from>
    <cdr:to>
      <cdr:x>0.45951</cdr:x>
      <cdr:y>0.24611</cdr:y>
    </cdr:to>
    <cdr:sp macro="" textlink="">
      <cdr:nvSpPr>
        <cdr:cNvPr id="2" name="TextBox 1"/>
        <cdr:cNvSpPr txBox="1"/>
      </cdr:nvSpPr>
      <cdr:spPr>
        <a:xfrm xmlns:a="http://schemas.openxmlformats.org/drawingml/2006/main">
          <a:off x="710570" y="208120"/>
          <a:ext cx="1806109" cy="46700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r>
            <a:rPr lang="en-US" sz="1100" i="1">
              <a:effectLst/>
              <a:latin typeface="Times New Roman" pitchFamily="18" charset="0"/>
              <a:ea typeface="+mn-ea"/>
              <a:cs typeface="Times New Roman" pitchFamily="18" charset="0"/>
            </a:rPr>
            <a:t>D. v. virgifera</a:t>
          </a:r>
          <a:endParaRPr lang="en-US">
            <a:latin typeface="Times New Roman" pitchFamily="18" charset="0"/>
            <a:cs typeface="Times New Roman" pitchFamily="18" charset="0"/>
          </a:endParaRPr>
        </a:p>
        <a:p xmlns:a="http://schemas.openxmlformats.org/drawingml/2006/main">
          <a:r>
            <a:rPr lang="en-US"/>
            <a:t>Total catch: 21</a:t>
          </a:r>
          <a:endParaRPr lang="en-US" sz="1100">
            <a:latin typeface="Times New Roman" pitchFamily="18" charset="0"/>
            <a:cs typeface="Times New Roman" pitchFamily="18" charset="0"/>
          </a:endParaRPr>
        </a:p>
      </cdr:txBody>
    </cdr:sp>
  </cdr:relSizeAnchor>
  <cdr:relSizeAnchor xmlns:cdr="http://schemas.openxmlformats.org/drawingml/2006/chartDrawing">
    <cdr:from>
      <cdr:x>0.14145</cdr:x>
      <cdr:y>0.59293</cdr:y>
    </cdr:from>
    <cdr:to>
      <cdr:x>0.14287</cdr:x>
      <cdr:y>0.6896</cdr:y>
    </cdr:to>
    <cdr:cxnSp macro="">
      <cdr:nvCxnSpPr>
        <cdr:cNvPr id="3" name="Straight Arrow Connector 2"/>
        <cdr:cNvCxnSpPr/>
      </cdr:nvCxnSpPr>
      <cdr:spPr>
        <a:xfrm xmlns:a="http://schemas.openxmlformats.org/drawingml/2006/main" flipH="1">
          <a:off x="774699" y="1581356"/>
          <a:ext cx="7777" cy="257819"/>
        </a:xfrm>
        <a:prstGeom xmlns:a="http://schemas.openxmlformats.org/drawingml/2006/main" prst="straightConnector1">
          <a:avLst/>
        </a:prstGeom>
        <a:ln xmlns:a="http://schemas.openxmlformats.org/drawingml/2006/main">
          <a:solidFill>
            <a:schemeClr val="tx1"/>
          </a:solidFill>
          <a:tailEnd type="stealt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0.85763</cdr:x>
      <cdr:y>0.60658</cdr:y>
    </cdr:from>
    <cdr:to>
      <cdr:x>0.85905</cdr:x>
      <cdr:y>0.70324</cdr:y>
    </cdr:to>
    <cdr:cxnSp macro="">
      <cdr:nvCxnSpPr>
        <cdr:cNvPr id="4" name="Straight Arrow Connector 3"/>
        <cdr:cNvCxnSpPr/>
      </cdr:nvCxnSpPr>
      <cdr:spPr>
        <a:xfrm xmlns:a="http://schemas.openxmlformats.org/drawingml/2006/main" flipH="1">
          <a:off x="4697125" y="1617756"/>
          <a:ext cx="7777" cy="257793"/>
        </a:xfrm>
        <a:prstGeom xmlns:a="http://schemas.openxmlformats.org/drawingml/2006/main" prst="straightConnector1">
          <a:avLst/>
        </a:prstGeom>
        <a:ln xmlns:a="http://schemas.openxmlformats.org/drawingml/2006/main">
          <a:solidFill>
            <a:schemeClr val="tx1"/>
          </a:solidFill>
          <a:tailEnd type="stealt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0.80592</cdr:x>
      <cdr:y>0.06786</cdr:y>
    </cdr:from>
    <cdr:to>
      <cdr:x>0.8727</cdr:x>
      <cdr:y>0.19008</cdr:y>
    </cdr:to>
    <cdr:sp macro="" textlink="">
      <cdr:nvSpPr>
        <cdr:cNvPr id="5" name="TextBox 4"/>
        <cdr:cNvSpPr txBox="1"/>
      </cdr:nvSpPr>
      <cdr:spPr>
        <a:xfrm xmlns:a="http://schemas.openxmlformats.org/drawingml/2006/main">
          <a:off x="4413911" y="180975"/>
          <a:ext cx="365746" cy="32596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i="1">
              <a:effectLst/>
              <a:latin typeface="Times New Roman" pitchFamily="18" charset="0"/>
              <a:ea typeface="+mn-ea"/>
              <a:cs typeface="Times New Roman" pitchFamily="18" charset="0"/>
            </a:rPr>
            <a:t> </a:t>
          </a:r>
          <a:r>
            <a:rPr lang="en-US" sz="1100" b="1" i="0">
              <a:effectLst/>
              <a:latin typeface="Times New Roman" pitchFamily="18" charset="0"/>
              <a:ea typeface="+mn-ea"/>
              <a:cs typeface="Times New Roman" pitchFamily="18" charset="0"/>
            </a:rPr>
            <a:t>A</a:t>
          </a:r>
          <a:endParaRPr lang="en-US" sz="1100">
            <a:latin typeface="Times New Roman" pitchFamily="18" charset="0"/>
            <a:cs typeface="Times New Roman" pitchFamily="18" charset="0"/>
          </a:endParaRPr>
        </a:p>
      </cdr:txBody>
    </cdr:sp>
  </cdr:relSizeAnchor>
</c:userShapes>
</file>

<file path=word/drawings/drawing5.xml><?xml version="1.0" encoding="utf-8"?>
<c:userShapes xmlns:c="http://schemas.openxmlformats.org/drawingml/2006/chart">
  <cdr:relSizeAnchor xmlns:cdr="http://schemas.openxmlformats.org/drawingml/2006/chartDrawing">
    <cdr:from>
      <cdr:x>0.14424</cdr:x>
      <cdr:y>0.62703</cdr:y>
    </cdr:from>
    <cdr:to>
      <cdr:x>0.14424</cdr:x>
      <cdr:y>0.71688</cdr:y>
    </cdr:to>
    <cdr:cxnSp macro="">
      <cdr:nvCxnSpPr>
        <cdr:cNvPr id="3" name="Straight Arrow Connector 2"/>
        <cdr:cNvCxnSpPr/>
      </cdr:nvCxnSpPr>
      <cdr:spPr>
        <a:xfrm xmlns:a="http://schemas.openxmlformats.org/drawingml/2006/main">
          <a:off x="778742" y="1654375"/>
          <a:ext cx="0" cy="237063"/>
        </a:xfrm>
        <a:prstGeom xmlns:a="http://schemas.openxmlformats.org/drawingml/2006/main" prst="straightConnector1">
          <a:avLst/>
        </a:prstGeom>
        <a:ln xmlns:a="http://schemas.openxmlformats.org/drawingml/2006/main">
          <a:solidFill>
            <a:schemeClr val="tx1"/>
          </a:solidFill>
          <a:tailEnd type="stealt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0.89998</cdr:x>
      <cdr:y>0.632</cdr:y>
    </cdr:from>
    <cdr:to>
      <cdr:x>0.89998</cdr:x>
      <cdr:y>0.72186</cdr:y>
    </cdr:to>
    <cdr:cxnSp macro="">
      <cdr:nvCxnSpPr>
        <cdr:cNvPr id="4" name="Straight Arrow Connector 3"/>
        <cdr:cNvCxnSpPr/>
      </cdr:nvCxnSpPr>
      <cdr:spPr>
        <a:xfrm xmlns:a="http://schemas.openxmlformats.org/drawingml/2006/main">
          <a:off x="4858808" y="1667480"/>
          <a:ext cx="0" cy="237089"/>
        </a:xfrm>
        <a:prstGeom xmlns:a="http://schemas.openxmlformats.org/drawingml/2006/main" prst="straightConnector1">
          <a:avLst/>
        </a:prstGeom>
        <a:ln xmlns:a="http://schemas.openxmlformats.org/drawingml/2006/main">
          <a:solidFill>
            <a:schemeClr val="tx1"/>
          </a:solidFill>
          <a:tailEnd type="stealt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0.58114</cdr:x>
      <cdr:y>0.12255</cdr:y>
    </cdr:from>
    <cdr:to>
      <cdr:x>0.89182</cdr:x>
      <cdr:y>0.19608</cdr:y>
    </cdr:to>
    <cdr:sp macro="" textlink="">
      <cdr:nvSpPr>
        <cdr:cNvPr id="2" name="TextBox 1"/>
        <cdr:cNvSpPr txBox="1"/>
      </cdr:nvSpPr>
      <cdr:spPr>
        <a:xfrm xmlns:a="http://schemas.openxmlformats.org/drawingml/2006/main">
          <a:off x="3192780" y="381000"/>
          <a:ext cx="1706880" cy="2286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r"/>
          <a:r>
            <a:rPr lang="en-US"/>
            <a:t>Total catch: 78</a:t>
          </a:r>
          <a:endParaRPr lang="en-US" sz="1100">
            <a:latin typeface="Times New Roman" pitchFamily="18" charset="0"/>
            <a:cs typeface="Times New Roman" pitchFamily="18" charset="0"/>
          </a:endParaRPr>
        </a:p>
      </cdr:txBody>
    </cdr:sp>
  </cdr:relSizeAnchor>
  <cdr:relSizeAnchor xmlns:cdr="http://schemas.openxmlformats.org/drawingml/2006/chartDrawing">
    <cdr:from>
      <cdr:x>0.12995</cdr:x>
      <cdr:y>0.10338</cdr:y>
    </cdr:from>
    <cdr:to>
      <cdr:x>0.27142</cdr:x>
      <cdr:y>0.20377</cdr:y>
    </cdr:to>
    <cdr:sp macro="" textlink="">
      <cdr:nvSpPr>
        <cdr:cNvPr id="5" name="TextBox 4"/>
        <cdr:cNvSpPr txBox="1"/>
      </cdr:nvSpPr>
      <cdr:spPr>
        <a:xfrm xmlns:a="http://schemas.openxmlformats.org/drawingml/2006/main">
          <a:off x="701583" y="272767"/>
          <a:ext cx="763764" cy="26486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latin typeface="Times New Roman" pitchFamily="18" charset="0"/>
              <a:cs typeface="Times New Roman" pitchFamily="18" charset="0"/>
            </a:rPr>
            <a:t>2015</a:t>
          </a:r>
        </a:p>
      </cdr:txBody>
    </cdr:sp>
  </cdr:relSizeAnchor>
</c:userShapes>
</file>

<file path=word/drawings/drawing6.xml><?xml version="1.0" encoding="utf-8"?>
<c:userShapes xmlns:c="http://schemas.openxmlformats.org/drawingml/2006/chart">
  <cdr:relSizeAnchor xmlns:cdr="http://schemas.openxmlformats.org/drawingml/2006/chartDrawing">
    <cdr:from>
      <cdr:x>0.15946</cdr:x>
      <cdr:y>0.67947</cdr:y>
    </cdr:from>
    <cdr:to>
      <cdr:x>0.15946</cdr:x>
      <cdr:y>0.76933</cdr:y>
    </cdr:to>
    <cdr:cxnSp macro="">
      <cdr:nvCxnSpPr>
        <cdr:cNvPr id="3" name="Straight Arrow Connector 2"/>
        <cdr:cNvCxnSpPr/>
      </cdr:nvCxnSpPr>
      <cdr:spPr>
        <a:xfrm xmlns:a="http://schemas.openxmlformats.org/drawingml/2006/main">
          <a:off x="860992" y="2041678"/>
          <a:ext cx="0" cy="270014"/>
        </a:xfrm>
        <a:prstGeom xmlns:a="http://schemas.openxmlformats.org/drawingml/2006/main" prst="straightConnector1">
          <a:avLst/>
        </a:prstGeom>
        <a:ln xmlns:a="http://schemas.openxmlformats.org/drawingml/2006/main">
          <a:solidFill>
            <a:schemeClr val="tx1"/>
          </a:solidFill>
          <a:tailEnd type="stealt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0.92867</cdr:x>
      <cdr:y>0.67821</cdr:y>
    </cdr:from>
    <cdr:to>
      <cdr:x>0.92867</cdr:x>
      <cdr:y>0.76807</cdr:y>
    </cdr:to>
    <cdr:cxnSp macro="">
      <cdr:nvCxnSpPr>
        <cdr:cNvPr id="4" name="Straight Arrow Connector 3"/>
        <cdr:cNvCxnSpPr/>
      </cdr:nvCxnSpPr>
      <cdr:spPr>
        <a:xfrm xmlns:a="http://schemas.openxmlformats.org/drawingml/2006/main">
          <a:off x="5014243" y="2037906"/>
          <a:ext cx="0" cy="270013"/>
        </a:xfrm>
        <a:prstGeom xmlns:a="http://schemas.openxmlformats.org/drawingml/2006/main" prst="straightConnector1">
          <a:avLst/>
        </a:prstGeom>
        <a:ln xmlns:a="http://schemas.openxmlformats.org/drawingml/2006/main">
          <a:solidFill>
            <a:schemeClr val="tx1"/>
          </a:solidFill>
          <a:tailEnd type="stealt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0.58206</cdr:x>
      <cdr:y>0.13154</cdr:y>
    </cdr:from>
    <cdr:to>
      <cdr:x>0.89274</cdr:x>
      <cdr:y>0.20507</cdr:y>
    </cdr:to>
    <cdr:sp macro="" textlink="">
      <cdr:nvSpPr>
        <cdr:cNvPr id="5" name="TextBox 1"/>
        <cdr:cNvSpPr txBox="1"/>
      </cdr:nvSpPr>
      <cdr:spPr>
        <a:xfrm xmlns:a="http://schemas.openxmlformats.org/drawingml/2006/main">
          <a:off x="3197860" y="408940"/>
          <a:ext cx="1706880" cy="2286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en-US"/>
            <a:t>Total catch: 4606</a:t>
          </a:r>
          <a:endParaRPr lang="en-US" sz="1100">
            <a:latin typeface="Times New Roman" pitchFamily="18" charset="0"/>
            <a:cs typeface="Times New Roman" pitchFamily="18" charset="0"/>
          </a:endParaRPr>
        </a:p>
      </cdr:txBody>
    </cdr:sp>
  </cdr:relSizeAnchor>
  <cdr:relSizeAnchor xmlns:cdr="http://schemas.openxmlformats.org/drawingml/2006/chartDrawing">
    <cdr:from>
      <cdr:x>0.12991</cdr:x>
      <cdr:y>0.12908</cdr:y>
    </cdr:from>
    <cdr:to>
      <cdr:x>0.27138</cdr:x>
      <cdr:y>0.19771</cdr:y>
    </cdr:to>
    <cdr:sp macro="" textlink="">
      <cdr:nvSpPr>
        <cdr:cNvPr id="6" name="TextBox 1"/>
        <cdr:cNvSpPr txBox="1"/>
      </cdr:nvSpPr>
      <cdr:spPr>
        <a:xfrm xmlns:a="http://schemas.openxmlformats.org/drawingml/2006/main">
          <a:off x="713740" y="401320"/>
          <a:ext cx="777240" cy="21336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latin typeface="Times New Roman" pitchFamily="18" charset="0"/>
              <a:cs typeface="Times New Roman" pitchFamily="18" charset="0"/>
            </a:rPr>
            <a:t>2016</a:t>
          </a:r>
        </a:p>
      </cdr:txBody>
    </cdr:sp>
  </cdr:relSizeAnchor>
</c:userShapes>
</file>

<file path=word/drawings/drawing7.xml><?xml version="1.0" encoding="utf-8"?>
<c:userShapes xmlns:c="http://schemas.openxmlformats.org/drawingml/2006/chart">
  <cdr:relSizeAnchor xmlns:cdr="http://schemas.openxmlformats.org/drawingml/2006/chartDrawing">
    <cdr:from>
      <cdr:x>0.86925</cdr:x>
      <cdr:y>0.183</cdr:y>
    </cdr:from>
    <cdr:to>
      <cdr:x>0.99554</cdr:x>
      <cdr:y>0.25176</cdr:y>
    </cdr:to>
    <cdr:sp macro="" textlink="">
      <cdr:nvSpPr>
        <cdr:cNvPr id="2" name="TextBox 1"/>
        <cdr:cNvSpPr txBox="1"/>
      </cdr:nvSpPr>
      <cdr:spPr>
        <a:xfrm xmlns:a="http://schemas.openxmlformats.org/drawingml/2006/main">
          <a:off x="4230337" y="576377"/>
          <a:ext cx="614608" cy="216567"/>
        </a:xfrm>
        <a:prstGeom xmlns:a="http://schemas.openxmlformats.org/drawingml/2006/main" prst="rect">
          <a:avLst/>
        </a:prstGeom>
        <a:solidFill xmlns:a="http://schemas.openxmlformats.org/drawingml/2006/main">
          <a:schemeClr val="bg1"/>
        </a:solidFill>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bg-BG" sz="900">
              <a:latin typeface="Times New Roman" pitchFamily="18" charset="0"/>
              <a:cs typeface="Times New Roman" pitchFamily="18" charset="0"/>
            </a:rPr>
            <a:t>2.3</a:t>
          </a:r>
          <a:r>
            <a:rPr lang="bg-BG" sz="900" baseline="0">
              <a:latin typeface="Times New Roman" pitchFamily="18" charset="0"/>
              <a:cs typeface="Times New Roman" pitchFamily="18" charset="0"/>
            </a:rPr>
            <a:t> </a:t>
          </a:r>
          <a:r>
            <a:rPr lang="en-US" sz="900">
              <a:effectLst/>
              <a:latin typeface="Times New Roman" pitchFamily="18" charset="0"/>
              <a:ea typeface="+mn-ea"/>
              <a:cs typeface="Times New Roman" pitchFamily="18" charset="0"/>
            </a:rPr>
            <a:t>×</a:t>
          </a:r>
          <a:r>
            <a:rPr lang="bg-BG" sz="900" baseline="0">
              <a:latin typeface="Times New Roman" pitchFamily="18" charset="0"/>
              <a:cs typeface="Times New Roman" pitchFamily="18" charset="0"/>
            </a:rPr>
            <a:t> 10</a:t>
          </a:r>
          <a:r>
            <a:rPr lang="bg-BG" sz="900" baseline="30000">
              <a:latin typeface="Times New Roman" pitchFamily="18" charset="0"/>
              <a:cs typeface="Times New Roman" pitchFamily="18" charset="0"/>
            </a:rPr>
            <a:t>7</a:t>
          </a:r>
        </a:p>
      </cdr:txBody>
    </cdr:sp>
  </cdr:relSizeAnchor>
  <cdr:relSizeAnchor xmlns:cdr="http://schemas.openxmlformats.org/drawingml/2006/chartDrawing">
    <cdr:from>
      <cdr:x>0.86719</cdr:x>
      <cdr:y>0.26799</cdr:y>
    </cdr:from>
    <cdr:to>
      <cdr:x>0.9908</cdr:x>
      <cdr:y>0.34797</cdr:y>
    </cdr:to>
    <cdr:sp macro="" textlink="">
      <cdr:nvSpPr>
        <cdr:cNvPr id="3" name="TextBox 1"/>
        <cdr:cNvSpPr txBox="1"/>
      </cdr:nvSpPr>
      <cdr:spPr>
        <a:xfrm xmlns:a="http://schemas.openxmlformats.org/drawingml/2006/main">
          <a:off x="4220289" y="844062"/>
          <a:ext cx="601565" cy="251905"/>
        </a:xfrm>
        <a:prstGeom xmlns:a="http://schemas.openxmlformats.org/drawingml/2006/main" prst="rect">
          <a:avLst/>
        </a:prstGeom>
        <a:solidFill xmlns:a="http://schemas.openxmlformats.org/drawingml/2006/main">
          <a:schemeClr val="bg1"/>
        </a:solidFill>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bg-BG" sz="900">
              <a:latin typeface="Times New Roman" pitchFamily="18" charset="0"/>
              <a:cs typeface="Times New Roman" pitchFamily="18" charset="0"/>
            </a:rPr>
            <a:t>2.3</a:t>
          </a:r>
          <a:r>
            <a:rPr lang="bg-BG" sz="900" baseline="0">
              <a:latin typeface="Times New Roman" pitchFamily="18" charset="0"/>
              <a:cs typeface="Times New Roman" pitchFamily="18" charset="0"/>
            </a:rPr>
            <a:t> </a:t>
          </a:r>
          <a:r>
            <a:rPr lang="en-US" sz="900">
              <a:effectLst/>
              <a:latin typeface="Times New Roman" pitchFamily="18" charset="0"/>
              <a:ea typeface="+mn-ea"/>
              <a:cs typeface="Times New Roman" pitchFamily="18" charset="0"/>
            </a:rPr>
            <a:t>×</a:t>
          </a:r>
          <a:r>
            <a:rPr lang="bg-BG" sz="900" baseline="0">
              <a:latin typeface="Times New Roman" pitchFamily="18" charset="0"/>
              <a:cs typeface="Times New Roman" pitchFamily="18" charset="0"/>
            </a:rPr>
            <a:t> 10</a:t>
          </a:r>
          <a:r>
            <a:rPr lang="en-US" sz="900" baseline="30000">
              <a:latin typeface="Times New Roman" pitchFamily="18" charset="0"/>
              <a:cs typeface="Times New Roman" pitchFamily="18" charset="0"/>
            </a:rPr>
            <a:t>6</a:t>
          </a:r>
          <a:endParaRPr lang="bg-BG" sz="900" baseline="30000">
            <a:latin typeface="Times New Roman" pitchFamily="18" charset="0"/>
            <a:cs typeface="Times New Roman" pitchFamily="18" charset="0"/>
          </a:endParaRPr>
        </a:p>
      </cdr:txBody>
    </cdr:sp>
  </cdr:relSizeAnchor>
  <cdr:relSizeAnchor xmlns:cdr="http://schemas.openxmlformats.org/drawingml/2006/chartDrawing">
    <cdr:from>
      <cdr:x>0.86949</cdr:x>
      <cdr:y>0.36126</cdr:y>
    </cdr:from>
    <cdr:to>
      <cdr:x>0.9931</cdr:x>
      <cdr:y>0.43638</cdr:y>
    </cdr:to>
    <cdr:sp macro="" textlink="">
      <cdr:nvSpPr>
        <cdr:cNvPr id="4" name="TextBox 1"/>
        <cdr:cNvSpPr txBox="1"/>
      </cdr:nvSpPr>
      <cdr:spPr>
        <a:xfrm xmlns:a="http://schemas.openxmlformats.org/drawingml/2006/main">
          <a:off x="4231485" y="1137840"/>
          <a:ext cx="601565" cy="236567"/>
        </a:xfrm>
        <a:prstGeom xmlns:a="http://schemas.openxmlformats.org/drawingml/2006/main" prst="rect">
          <a:avLst/>
        </a:prstGeom>
        <a:solidFill xmlns:a="http://schemas.openxmlformats.org/drawingml/2006/main">
          <a:schemeClr val="bg1"/>
        </a:solidFill>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bg-BG" sz="900">
              <a:latin typeface="Times New Roman" pitchFamily="18" charset="0"/>
              <a:cs typeface="Times New Roman" pitchFamily="18" charset="0"/>
            </a:rPr>
            <a:t>2.3</a:t>
          </a:r>
          <a:r>
            <a:rPr lang="bg-BG" sz="900" baseline="0">
              <a:latin typeface="Times New Roman" pitchFamily="18" charset="0"/>
              <a:cs typeface="Times New Roman" pitchFamily="18" charset="0"/>
            </a:rPr>
            <a:t> </a:t>
          </a:r>
          <a:r>
            <a:rPr lang="en-US" sz="900">
              <a:effectLst/>
              <a:latin typeface="Times New Roman" pitchFamily="18" charset="0"/>
              <a:ea typeface="+mn-ea"/>
              <a:cs typeface="Times New Roman" pitchFamily="18" charset="0"/>
            </a:rPr>
            <a:t>×</a:t>
          </a:r>
          <a:r>
            <a:rPr lang="bg-BG" sz="900" baseline="0">
              <a:latin typeface="Times New Roman" pitchFamily="18" charset="0"/>
              <a:cs typeface="Times New Roman" pitchFamily="18" charset="0"/>
            </a:rPr>
            <a:t> 10</a:t>
          </a:r>
          <a:r>
            <a:rPr lang="bg-BG" sz="900" baseline="30000">
              <a:latin typeface="Times New Roman" pitchFamily="18" charset="0"/>
              <a:cs typeface="Times New Roman" pitchFamily="18" charset="0"/>
            </a:rPr>
            <a:t>5</a:t>
          </a:r>
        </a:p>
      </cdr:txBody>
    </cdr:sp>
  </cdr:relSizeAnchor>
  <cdr:relSizeAnchor xmlns:cdr="http://schemas.openxmlformats.org/drawingml/2006/chartDrawing">
    <cdr:from>
      <cdr:x>0.87102</cdr:x>
      <cdr:y>0.44151</cdr:y>
    </cdr:from>
    <cdr:to>
      <cdr:x>0.99463</cdr:x>
      <cdr:y>0.53705</cdr:y>
    </cdr:to>
    <cdr:sp macro="" textlink="">
      <cdr:nvSpPr>
        <cdr:cNvPr id="5" name="TextBox 1"/>
        <cdr:cNvSpPr txBox="1"/>
      </cdr:nvSpPr>
      <cdr:spPr>
        <a:xfrm xmlns:a="http://schemas.openxmlformats.org/drawingml/2006/main">
          <a:off x="4238949" y="1390580"/>
          <a:ext cx="601565" cy="300913"/>
        </a:xfrm>
        <a:prstGeom xmlns:a="http://schemas.openxmlformats.org/drawingml/2006/main" prst="rect">
          <a:avLst/>
        </a:prstGeom>
        <a:solidFill xmlns:a="http://schemas.openxmlformats.org/drawingml/2006/main">
          <a:schemeClr val="bg1"/>
        </a:solidFill>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bg-BG" sz="900">
              <a:latin typeface="Times New Roman" pitchFamily="18" charset="0"/>
              <a:cs typeface="Times New Roman" pitchFamily="18" charset="0"/>
            </a:rPr>
            <a:t>2.3</a:t>
          </a:r>
          <a:r>
            <a:rPr lang="bg-BG" sz="900" baseline="0">
              <a:latin typeface="Times New Roman" pitchFamily="18" charset="0"/>
              <a:cs typeface="Times New Roman" pitchFamily="18" charset="0"/>
            </a:rPr>
            <a:t> </a:t>
          </a:r>
          <a:r>
            <a:rPr lang="en-US" sz="900">
              <a:effectLst/>
              <a:latin typeface="Times New Roman" pitchFamily="18" charset="0"/>
              <a:ea typeface="+mn-ea"/>
              <a:cs typeface="Times New Roman" pitchFamily="18" charset="0"/>
            </a:rPr>
            <a:t>×</a:t>
          </a:r>
          <a:r>
            <a:rPr lang="bg-BG" sz="900" baseline="0">
              <a:latin typeface="Times New Roman" pitchFamily="18" charset="0"/>
              <a:cs typeface="Times New Roman" pitchFamily="18" charset="0"/>
            </a:rPr>
            <a:t> 10</a:t>
          </a:r>
          <a:r>
            <a:rPr lang="bg-BG" sz="900" baseline="30000">
              <a:latin typeface="Times New Roman" pitchFamily="18" charset="0"/>
              <a:cs typeface="Times New Roman" pitchFamily="18" charset="0"/>
            </a:rPr>
            <a:t>4</a:t>
          </a:r>
        </a:p>
      </cdr:txBody>
    </cdr:sp>
  </cdr:relSizeAnchor>
  <cdr:relSizeAnchor xmlns:cdr="http://schemas.openxmlformats.org/drawingml/2006/chartDrawing">
    <cdr:from>
      <cdr:x>0.86517</cdr:x>
      <cdr:y>0.53213</cdr:y>
    </cdr:from>
    <cdr:to>
      <cdr:x>0.99156</cdr:x>
      <cdr:y>0.62606</cdr:y>
    </cdr:to>
    <cdr:sp macro="" textlink="">
      <cdr:nvSpPr>
        <cdr:cNvPr id="6" name="TextBox 1"/>
        <cdr:cNvSpPr txBox="1"/>
      </cdr:nvSpPr>
      <cdr:spPr>
        <a:xfrm xmlns:a="http://schemas.openxmlformats.org/drawingml/2006/main">
          <a:off x="4210490" y="1675981"/>
          <a:ext cx="615095" cy="295842"/>
        </a:xfrm>
        <a:prstGeom xmlns:a="http://schemas.openxmlformats.org/drawingml/2006/main" prst="rect">
          <a:avLst/>
        </a:prstGeom>
        <a:solidFill xmlns:a="http://schemas.openxmlformats.org/drawingml/2006/main">
          <a:schemeClr val="bg1"/>
        </a:solidFill>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bg-BG" sz="900">
              <a:latin typeface="Times New Roman" pitchFamily="18" charset="0"/>
              <a:cs typeface="Times New Roman" pitchFamily="18" charset="0"/>
            </a:rPr>
            <a:t>2.3</a:t>
          </a:r>
          <a:r>
            <a:rPr lang="bg-BG" sz="900" baseline="0">
              <a:latin typeface="Times New Roman" pitchFamily="18" charset="0"/>
              <a:cs typeface="Times New Roman" pitchFamily="18" charset="0"/>
            </a:rPr>
            <a:t> </a:t>
          </a:r>
          <a:r>
            <a:rPr lang="en-US" sz="900">
              <a:effectLst/>
              <a:latin typeface="Times New Roman" pitchFamily="18" charset="0"/>
              <a:ea typeface="+mn-ea"/>
              <a:cs typeface="Times New Roman" pitchFamily="18" charset="0"/>
            </a:rPr>
            <a:t>×</a:t>
          </a:r>
          <a:r>
            <a:rPr lang="bg-BG" sz="900" baseline="0">
              <a:latin typeface="Times New Roman" pitchFamily="18" charset="0"/>
              <a:cs typeface="Times New Roman" pitchFamily="18" charset="0"/>
            </a:rPr>
            <a:t> 10</a:t>
          </a:r>
          <a:r>
            <a:rPr lang="bg-BG" sz="900" baseline="30000">
              <a:latin typeface="Times New Roman" pitchFamily="18" charset="0"/>
              <a:cs typeface="Times New Roman" pitchFamily="18" charset="0"/>
            </a:rPr>
            <a:t>3</a:t>
          </a:r>
        </a:p>
      </cdr:txBody>
    </cdr:sp>
  </cdr:relSizeAnchor>
  <cdr:relSizeAnchor xmlns:cdr="http://schemas.openxmlformats.org/drawingml/2006/chartDrawing">
    <cdr:from>
      <cdr:x>0.86608</cdr:x>
      <cdr:y>0.61652</cdr:y>
    </cdr:from>
    <cdr:to>
      <cdr:x>0.99386</cdr:x>
      <cdr:y>0.70519</cdr:y>
    </cdr:to>
    <cdr:sp macro="" textlink="">
      <cdr:nvSpPr>
        <cdr:cNvPr id="7" name="TextBox 1"/>
        <cdr:cNvSpPr txBox="1"/>
      </cdr:nvSpPr>
      <cdr:spPr>
        <a:xfrm xmlns:a="http://schemas.openxmlformats.org/drawingml/2006/main">
          <a:off x="4214923" y="1941792"/>
          <a:ext cx="621859" cy="279275"/>
        </a:xfrm>
        <a:prstGeom xmlns:a="http://schemas.openxmlformats.org/drawingml/2006/main" prst="rect">
          <a:avLst/>
        </a:prstGeom>
        <a:solidFill xmlns:a="http://schemas.openxmlformats.org/drawingml/2006/main">
          <a:schemeClr val="bg1"/>
        </a:solidFill>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bg-BG" sz="900">
              <a:latin typeface="Times New Roman" pitchFamily="18" charset="0"/>
              <a:cs typeface="Times New Roman" pitchFamily="18" charset="0"/>
            </a:rPr>
            <a:t>2.3</a:t>
          </a:r>
          <a:r>
            <a:rPr lang="bg-BG" sz="900" baseline="0">
              <a:latin typeface="Times New Roman" pitchFamily="18" charset="0"/>
              <a:cs typeface="Times New Roman" pitchFamily="18" charset="0"/>
            </a:rPr>
            <a:t> </a:t>
          </a:r>
          <a:r>
            <a:rPr lang="en-US" sz="900">
              <a:effectLst/>
              <a:latin typeface="Times New Roman" pitchFamily="18" charset="0"/>
              <a:ea typeface="+mn-ea"/>
              <a:cs typeface="Times New Roman" pitchFamily="18" charset="0"/>
            </a:rPr>
            <a:t>×</a:t>
          </a:r>
          <a:r>
            <a:rPr lang="bg-BG" sz="900" baseline="0">
              <a:latin typeface="Times New Roman" pitchFamily="18" charset="0"/>
              <a:cs typeface="Times New Roman" pitchFamily="18" charset="0"/>
            </a:rPr>
            <a:t> 10</a:t>
          </a:r>
          <a:r>
            <a:rPr lang="en-US" sz="900" baseline="30000">
              <a:latin typeface="Times New Roman" pitchFamily="18" charset="0"/>
              <a:cs typeface="Times New Roman" pitchFamily="18" charset="0"/>
            </a:rPr>
            <a:t>2</a:t>
          </a:r>
          <a:endParaRPr lang="bg-BG" sz="900" baseline="30000">
            <a:latin typeface="Times New Roman" pitchFamily="18" charset="0"/>
            <a:cs typeface="Times New Roman" pitchFamily="18" charset="0"/>
          </a:endParaRPr>
        </a:p>
      </cdr:txBody>
    </cdr:sp>
  </cdr:relSizeAnchor>
</c:userShapes>
</file>

<file path=word/drawings/drawing8.xml><?xml version="1.0" encoding="utf-8"?>
<c:userShapes xmlns:c="http://schemas.openxmlformats.org/drawingml/2006/chart">
  <cdr:relSizeAnchor xmlns:cdr="http://schemas.openxmlformats.org/drawingml/2006/chartDrawing">
    <cdr:from>
      <cdr:x>0.85163</cdr:x>
      <cdr:y>0.20913</cdr:y>
    </cdr:from>
    <cdr:to>
      <cdr:x>1</cdr:x>
      <cdr:y>0.30834</cdr:y>
    </cdr:to>
    <cdr:sp macro="" textlink="">
      <cdr:nvSpPr>
        <cdr:cNvPr id="2" name="TextBox 1"/>
        <cdr:cNvSpPr txBox="1"/>
      </cdr:nvSpPr>
      <cdr:spPr>
        <a:xfrm xmlns:a="http://schemas.openxmlformats.org/drawingml/2006/main">
          <a:off x="4664263" y="674269"/>
          <a:ext cx="812612" cy="319892"/>
        </a:xfrm>
        <a:prstGeom xmlns:a="http://schemas.openxmlformats.org/drawingml/2006/main" prst="rect">
          <a:avLst/>
        </a:prstGeom>
        <a:solidFill xmlns:a="http://schemas.openxmlformats.org/drawingml/2006/main">
          <a:schemeClr val="bg1"/>
        </a:solidFill>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bg-BG" sz="900">
              <a:latin typeface="Times New Roman" pitchFamily="18" charset="0"/>
              <a:cs typeface="Times New Roman" pitchFamily="18" charset="0"/>
            </a:rPr>
            <a:t>2.3</a:t>
          </a:r>
          <a:r>
            <a:rPr lang="bg-BG" sz="900" baseline="0">
              <a:latin typeface="Times New Roman" pitchFamily="18" charset="0"/>
              <a:cs typeface="Times New Roman" pitchFamily="18" charset="0"/>
            </a:rPr>
            <a:t> </a:t>
          </a:r>
          <a:r>
            <a:rPr lang="en-US" sz="900">
              <a:effectLst/>
              <a:latin typeface="Times New Roman" pitchFamily="18" charset="0"/>
              <a:ea typeface="+mn-ea"/>
              <a:cs typeface="Times New Roman" pitchFamily="18" charset="0"/>
            </a:rPr>
            <a:t>×</a:t>
          </a:r>
          <a:r>
            <a:rPr lang="bg-BG" sz="900" baseline="0">
              <a:latin typeface="Times New Roman" pitchFamily="18" charset="0"/>
              <a:cs typeface="Times New Roman" pitchFamily="18" charset="0"/>
            </a:rPr>
            <a:t> 10</a:t>
          </a:r>
          <a:r>
            <a:rPr lang="bg-BG" sz="900" baseline="30000">
              <a:latin typeface="Times New Roman" pitchFamily="18" charset="0"/>
              <a:cs typeface="Times New Roman" pitchFamily="18" charset="0"/>
            </a:rPr>
            <a:t>7</a:t>
          </a:r>
        </a:p>
      </cdr:txBody>
    </cdr:sp>
  </cdr:relSizeAnchor>
  <cdr:relSizeAnchor xmlns:cdr="http://schemas.openxmlformats.org/drawingml/2006/chartDrawing">
    <cdr:from>
      <cdr:x>0.85101</cdr:x>
      <cdr:y>0.29345</cdr:y>
    </cdr:from>
    <cdr:to>
      <cdr:x>0.99939</cdr:x>
      <cdr:y>0.37785</cdr:y>
    </cdr:to>
    <cdr:sp macro="" textlink="">
      <cdr:nvSpPr>
        <cdr:cNvPr id="3" name="TextBox 1"/>
        <cdr:cNvSpPr txBox="1"/>
      </cdr:nvSpPr>
      <cdr:spPr>
        <a:xfrm xmlns:a="http://schemas.openxmlformats.org/drawingml/2006/main">
          <a:off x="4660900" y="946150"/>
          <a:ext cx="812612" cy="272135"/>
        </a:xfrm>
        <a:prstGeom xmlns:a="http://schemas.openxmlformats.org/drawingml/2006/main" prst="rect">
          <a:avLst/>
        </a:prstGeom>
        <a:solidFill xmlns:a="http://schemas.openxmlformats.org/drawingml/2006/main">
          <a:schemeClr val="bg1"/>
        </a:solidFill>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bg-BG" sz="900">
              <a:latin typeface="Times New Roman" pitchFamily="18" charset="0"/>
              <a:cs typeface="Times New Roman" pitchFamily="18" charset="0"/>
            </a:rPr>
            <a:t>2.3</a:t>
          </a:r>
          <a:r>
            <a:rPr lang="bg-BG" sz="900" baseline="0">
              <a:latin typeface="Times New Roman" pitchFamily="18" charset="0"/>
              <a:cs typeface="Times New Roman" pitchFamily="18" charset="0"/>
            </a:rPr>
            <a:t> </a:t>
          </a:r>
          <a:r>
            <a:rPr lang="en-US" sz="900">
              <a:effectLst/>
              <a:latin typeface="Times New Roman" pitchFamily="18" charset="0"/>
              <a:ea typeface="+mn-ea"/>
              <a:cs typeface="Times New Roman" pitchFamily="18" charset="0"/>
            </a:rPr>
            <a:t>×</a:t>
          </a:r>
          <a:r>
            <a:rPr lang="bg-BG" sz="900" baseline="0">
              <a:latin typeface="Times New Roman" pitchFamily="18" charset="0"/>
              <a:cs typeface="Times New Roman" pitchFamily="18" charset="0"/>
            </a:rPr>
            <a:t> 10</a:t>
          </a:r>
          <a:r>
            <a:rPr lang="bg-BG" sz="900" baseline="30000">
              <a:latin typeface="Times New Roman" pitchFamily="18" charset="0"/>
              <a:cs typeface="Times New Roman" pitchFamily="18" charset="0"/>
            </a:rPr>
            <a:t>6</a:t>
          </a:r>
        </a:p>
      </cdr:txBody>
    </cdr:sp>
  </cdr:relSizeAnchor>
  <cdr:relSizeAnchor xmlns:cdr="http://schemas.openxmlformats.org/drawingml/2006/chartDrawing">
    <cdr:from>
      <cdr:x>0.8524</cdr:x>
      <cdr:y>0.37322</cdr:y>
    </cdr:from>
    <cdr:to>
      <cdr:x>1</cdr:x>
      <cdr:y>0.45762</cdr:y>
    </cdr:to>
    <cdr:sp macro="" textlink="">
      <cdr:nvSpPr>
        <cdr:cNvPr id="4" name="TextBox 1"/>
        <cdr:cNvSpPr txBox="1"/>
      </cdr:nvSpPr>
      <cdr:spPr>
        <a:xfrm xmlns:a="http://schemas.openxmlformats.org/drawingml/2006/main">
          <a:off x="4668473" y="1203325"/>
          <a:ext cx="808402" cy="272135"/>
        </a:xfrm>
        <a:prstGeom xmlns:a="http://schemas.openxmlformats.org/drawingml/2006/main" prst="rect">
          <a:avLst/>
        </a:prstGeom>
        <a:solidFill xmlns:a="http://schemas.openxmlformats.org/drawingml/2006/main">
          <a:schemeClr val="bg1"/>
        </a:solidFill>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bg-BG" sz="900">
              <a:latin typeface="Times New Roman" pitchFamily="18" charset="0"/>
              <a:cs typeface="Times New Roman" pitchFamily="18" charset="0"/>
            </a:rPr>
            <a:t>2.3</a:t>
          </a:r>
          <a:r>
            <a:rPr lang="bg-BG" sz="900" baseline="0">
              <a:latin typeface="Times New Roman" pitchFamily="18" charset="0"/>
              <a:cs typeface="Times New Roman" pitchFamily="18" charset="0"/>
            </a:rPr>
            <a:t> </a:t>
          </a:r>
          <a:r>
            <a:rPr lang="en-US" sz="900">
              <a:effectLst/>
              <a:latin typeface="Times New Roman" pitchFamily="18" charset="0"/>
              <a:ea typeface="+mn-ea"/>
              <a:cs typeface="Times New Roman" pitchFamily="18" charset="0"/>
            </a:rPr>
            <a:t>×</a:t>
          </a:r>
          <a:r>
            <a:rPr lang="bg-BG" sz="900" baseline="0">
              <a:latin typeface="Times New Roman" pitchFamily="18" charset="0"/>
              <a:cs typeface="Times New Roman" pitchFamily="18" charset="0"/>
            </a:rPr>
            <a:t> 10</a:t>
          </a:r>
          <a:r>
            <a:rPr lang="bg-BG" sz="900" baseline="30000">
              <a:latin typeface="Times New Roman" pitchFamily="18" charset="0"/>
              <a:cs typeface="Times New Roman" pitchFamily="18" charset="0"/>
            </a:rPr>
            <a:t>5</a:t>
          </a:r>
        </a:p>
      </cdr:txBody>
    </cdr:sp>
  </cdr:relSizeAnchor>
  <cdr:relSizeAnchor xmlns:cdr="http://schemas.openxmlformats.org/drawingml/2006/chartDrawing">
    <cdr:from>
      <cdr:x>0.85462</cdr:x>
      <cdr:y>0.45298</cdr:y>
    </cdr:from>
    <cdr:to>
      <cdr:x>0.99826</cdr:x>
      <cdr:y>0.53739</cdr:y>
    </cdr:to>
    <cdr:sp macro="" textlink="">
      <cdr:nvSpPr>
        <cdr:cNvPr id="5" name="TextBox 1"/>
        <cdr:cNvSpPr txBox="1"/>
      </cdr:nvSpPr>
      <cdr:spPr>
        <a:xfrm xmlns:a="http://schemas.openxmlformats.org/drawingml/2006/main">
          <a:off x="4680646" y="1460500"/>
          <a:ext cx="786704" cy="272168"/>
        </a:xfrm>
        <a:prstGeom xmlns:a="http://schemas.openxmlformats.org/drawingml/2006/main" prst="rect">
          <a:avLst/>
        </a:prstGeom>
        <a:solidFill xmlns:a="http://schemas.openxmlformats.org/drawingml/2006/main">
          <a:schemeClr val="bg1"/>
        </a:solidFill>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bg-BG" sz="900">
              <a:latin typeface="Times New Roman" pitchFamily="18" charset="0"/>
              <a:cs typeface="Times New Roman" pitchFamily="18" charset="0"/>
            </a:rPr>
            <a:t>2.3</a:t>
          </a:r>
          <a:r>
            <a:rPr lang="bg-BG" sz="900" baseline="0">
              <a:latin typeface="Times New Roman" pitchFamily="18" charset="0"/>
              <a:cs typeface="Times New Roman" pitchFamily="18" charset="0"/>
            </a:rPr>
            <a:t> </a:t>
          </a:r>
          <a:r>
            <a:rPr lang="en-US" sz="900">
              <a:effectLst/>
              <a:latin typeface="Times New Roman" pitchFamily="18" charset="0"/>
              <a:ea typeface="+mn-ea"/>
              <a:cs typeface="Times New Roman" pitchFamily="18" charset="0"/>
            </a:rPr>
            <a:t>×</a:t>
          </a:r>
          <a:r>
            <a:rPr lang="bg-BG" sz="900" baseline="0">
              <a:latin typeface="Times New Roman" pitchFamily="18" charset="0"/>
              <a:cs typeface="Times New Roman" pitchFamily="18" charset="0"/>
            </a:rPr>
            <a:t> 10</a:t>
          </a:r>
          <a:r>
            <a:rPr lang="bg-BG" sz="900" baseline="30000">
              <a:latin typeface="Times New Roman" pitchFamily="18" charset="0"/>
              <a:cs typeface="Times New Roman" pitchFamily="18" charset="0"/>
            </a:rPr>
            <a:t>4</a:t>
          </a:r>
        </a:p>
      </cdr:txBody>
    </cdr:sp>
  </cdr:relSizeAnchor>
  <cdr:relSizeAnchor xmlns:cdr="http://schemas.openxmlformats.org/drawingml/2006/chartDrawing">
    <cdr:from>
      <cdr:x>0.855</cdr:x>
      <cdr:y>0.54751</cdr:y>
    </cdr:from>
    <cdr:to>
      <cdr:x>1</cdr:x>
      <cdr:y>0.63192</cdr:y>
    </cdr:to>
    <cdr:sp macro="" textlink="">
      <cdr:nvSpPr>
        <cdr:cNvPr id="6" name="TextBox 1"/>
        <cdr:cNvSpPr txBox="1"/>
      </cdr:nvSpPr>
      <cdr:spPr>
        <a:xfrm xmlns:a="http://schemas.openxmlformats.org/drawingml/2006/main">
          <a:off x="4682742" y="1765300"/>
          <a:ext cx="794133" cy="272136"/>
        </a:xfrm>
        <a:prstGeom xmlns:a="http://schemas.openxmlformats.org/drawingml/2006/main" prst="rect">
          <a:avLst/>
        </a:prstGeom>
        <a:solidFill xmlns:a="http://schemas.openxmlformats.org/drawingml/2006/main">
          <a:schemeClr val="bg1"/>
        </a:solidFill>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bg-BG" sz="900">
              <a:latin typeface="Times New Roman" pitchFamily="18" charset="0"/>
              <a:cs typeface="Times New Roman" pitchFamily="18" charset="0"/>
            </a:rPr>
            <a:t>2.3</a:t>
          </a:r>
          <a:r>
            <a:rPr lang="bg-BG" sz="900" baseline="0">
              <a:latin typeface="Times New Roman" pitchFamily="18" charset="0"/>
              <a:cs typeface="Times New Roman" pitchFamily="18" charset="0"/>
            </a:rPr>
            <a:t> </a:t>
          </a:r>
          <a:r>
            <a:rPr lang="en-US" sz="900">
              <a:effectLst/>
              <a:latin typeface="Times New Roman" pitchFamily="18" charset="0"/>
              <a:ea typeface="+mn-ea"/>
              <a:cs typeface="Times New Roman" pitchFamily="18" charset="0"/>
            </a:rPr>
            <a:t>×</a:t>
          </a:r>
          <a:r>
            <a:rPr lang="bg-BG" sz="900" baseline="0">
              <a:latin typeface="Times New Roman" pitchFamily="18" charset="0"/>
              <a:cs typeface="Times New Roman" pitchFamily="18" charset="0"/>
            </a:rPr>
            <a:t> 10</a:t>
          </a:r>
          <a:r>
            <a:rPr lang="bg-BG" sz="900" baseline="30000">
              <a:latin typeface="Times New Roman" pitchFamily="18" charset="0"/>
              <a:cs typeface="Times New Roman" pitchFamily="18" charset="0"/>
            </a:rPr>
            <a:t>3</a:t>
          </a:r>
        </a:p>
      </cdr:txBody>
    </cdr:sp>
  </cdr:relSizeAnchor>
  <cdr:relSizeAnchor xmlns:cdr="http://schemas.openxmlformats.org/drawingml/2006/chartDrawing">
    <cdr:from>
      <cdr:x>0.85275</cdr:x>
      <cdr:y>0.63319</cdr:y>
    </cdr:from>
    <cdr:to>
      <cdr:x>0.99775</cdr:x>
      <cdr:y>0.71759</cdr:y>
    </cdr:to>
    <cdr:sp macro="" textlink="">
      <cdr:nvSpPr>
        <cdr:cNvPr id="7" name="TextBox 1"/>
        <cdr:cNvSpPr txBox="1"/>
      </cdr:nvSpPr>
      <cdr:spPr>
        <a:xfrm xmlns:a="http://schemas.openxmlformats.org/drawingml/2006/main">
          <a:off x="4670425" y="2041525"/>
          <a:ext cx="794132" cy="272136"/>
        </a:xfrm>
        <a:prstGeom xmlns:a="http://schemas.openxmlformats.org/drawingml/2006/main" prst="rect">
          <a:avLst/>
        </a:prstGeom>
        <a:solidFill xmlns:a="http://schemas.openxmlformats.org/drawingml/2006/main">
          <a:schemeClr val="bg1"/>
        </a:solidFill>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bg-BG" sz="900">
              <a:latin typeface="Times New Roman" pitchFamily="18" charset="0"/>
              <a:cs typeface="Times New Roman" pitchFamily="18" charset="0"/>
            </a:rPr>
            <a:t>2.3</a:t>
          </a:r>
          <a:r>
            <a:rPr lang="bg-BG" sz="900" baseline="0">
              <a:latin typeface="Times New Roman" pitchFamily="18" charset="0"/>
              <a:cs typeface="Times New Roman" pitchFamily="18" charset="0"/>
            </a:rPr>
            <a:t> </a:t>
          </a:r>
          <a:r>
            <a:rPr lang="en-US" sz="900">
              <a:effectLst/>
              <a:latin typeface="Times New Roman" pitchFamily="18" charset="0"/>
              <a:ea typeface="+mn-ea"/>
              <a:cs typeface="Times New Roman" pitchFamily="18" charset="0"/>
            </a:rPr>
            <a:t>×</a:t>
          </a:r>
          <a:r>
            <a:rPr lang="bg-BG" sz="900" baseline="0">
              <a:latin typeface="Times New Roman" pitchFamily="18" charset="0"/>
              <a:cs typeface="Times New Roman" pitchFamily="18" charset="0"/>
            </a:rPr>
            <a:t> 10</a:t>
          </a:r>
          <a:r>
            <a:rPr lang="en-US" sz="900" baseline="30000">
              <a:latin typeface="Times New Roman" pitchFamily="18" charset="0"/>
              <a:cs typeface="Times New Roman" pitchFamily="18" charset="0"/>
            </a:rPr>
            <a:t>2</a:t>
          </a:r>
          <a:endParaRPr lang="bg-BG" sz="900" baseline="30000">
            <a:latin typeface="Times New Roman" pitchFamily="18" charset="0"/>
            <a:cs typeface="Times New Roman" pitchFamily="18" charset="0"/>
          </a:endParaRPr>
        </a:p>
      </cdr:txBody>
    </cdr:sp>
  </cdr:relSizeAnchor>
</c:userShape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88</TotalTime>
  <Pages>43</Pages>
  <Words>11907</Words>
  <Characters>67870</Characters>
  <Application>Microsoft Office Word</Application>
  <DocSecurity>0</DocSecurity>
  <Lines>565</Lines>
  <Paragraphs>159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79618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2026-07-24T15:43:00Z</dcterms:created>
  <dcterms:modified xsi:type="dcterms:W3CDTF">2026-08-05T10:47:00Z</dcterms:modified>
</cp:coreProperties>
</file>