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3555A" w14:textId="77777777" w:rsidR="00CC7951" w:rsidRPr="00D10483" w:rsidRDefault="00CC7951" w:rsidP="00CC7951">
      <w:pPr>
        <w:rPr>
          <w:rFonts w:ascii="Times New Roman" w:hAnsi="Times New Roman"/>
        </w:rPr>
      </w:pPr>
      <w:r w:rsidRPr="00000B30">
        <w:rPr>
          <w:rFonts w:ascii="Times New Roman" w:hAnsi="Times New Roman"/>
          <w:noProof/>
          <w:sz w:val="48"/>
          <w:szCs w:val="48"/>
        </w:rPr>
        <w:drawing>
          <wp:inline distT="0" distB="0" distL="0" distR="0" wp14:anchorId="5858BBE5" wp14:editId="5F2D2A5D">
            <wp:extent cx="5939790" cy="938530"/>
            <wp:effectExtent l="0" t="0" r="3810" b="0"/>
            <wp:docPr id="1" name="Picture 1" descr="C:\Users\admin\Downloads\cropped-logo-ia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cropped-logo-iae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9790" cy="938530"/>
                    </a:xfrm>
                    <a:prstGeom prst="rect">
                      <a:avLst/>
                    </a:prstGeom>
                    <a:noFill/>
                    <a:ln>
                      <a:noFill/>
                    </a:ln>
                  </pic:spPr>
                </pic:pic>
              </a:graphicData>
            </a:graphic>
          </wp:inline>
        </w:drawing>
      </w:r>
    </w:p>
    <w:p w14:paraId="2BC48613" w14:textId="77777777" w:rsidR="00E2627D" w:rsidRPr="00E2627D" w:rsidRDefault="00E2627D" w:rsidP="00E2627D">
      <w:pPr>
        <w:jc w:val="center"/>
        <w:rPr>
          <w:rFonts w:ascii="Times New Roman" w:hAnsi="Times New Roman"/>
          <w:sz w:val="28"/>
          <w:szCs w:val="28"/>
          <w:lang w:val="bg-BG"/>
        </w:rPr>
      </w:pPr>
      <w:r w:rsidRPr="00E2627D">
        <w:rPr>
          <w:rFonts w:ascii="Times New Roman" w:hAnsi="Times New Roman"/>
          <w:sz w:val="28"/>
          <w:szCs w:val="28"/>
          <w:lang w:val="bg-BG"/>
        </w:rPr>
        <w:t>Отдел “Икономика и управление на организациите в земеделието и в</w:t>
      </w:r>
    </w:p>
    <w:p w14:paraId="4569F5EF" w14:textId="2D58434C" w:rsidR="00E2627D" w:rsidRPr="00E2627D" w:rsidRDefault="00E2627D" w:rsidP="00E2627D">
      <w:pPr>
        <w:jc w:val="center"/>
        <w:rPr>
          <w:rFonts w:ascii="Times New Roman" w:hAnsi="Times New Roman"/>
          <w:sz w:val="28"/>
          <w:szCs w:val="28"/>
          <w:lang w:val="bg-BG"/>
        </w:rPr>
      </w:pPr>
      <w:r w:rsidRPr="00E2627D">
        <w:rPr>
          <w:rFonts w:ascii="Times New Roman" w:hAnsi="Times New Roman"/>
          <w:sz w:val="28"/>
          <w:szCs w:val="28"/>
          <w:lang w:val="bg-BG"/>
        </w:rPr>
        <w:t>селските райони”</w:t>
      </w:r>
    </w:p>
    <w:p w14:paraId="3A1CAAB0" w14:textId="77777777" w:rsidR="00E2627D" w:rsidRDefault="00E2627D" w:rsidP="00CC7951">
      <w:pPr>
        <w:jc w:val="center"/>
        <w:rPr>
          <w:rFonts w:ascii="Times New Roman" w:hAnsi="Times New Roman"/>
          <w:sz w:val="40"/>
          <w:szCs w:val="40"/>
          <w:lang w:val="bg-BG"/>
        </w:rPr>
      </w:pPr>
    </w:p>
    <w:p w14:paraId="091E494C" w14:textId="0D0CAB84" w:rsidR="00CC7951" w:rsidRPr="00E2627D" w:rsidRDefault="00CC7951" w:rsidP="00CC7951">
      <w:pPr>
        <w:jc w:val="center"/>
        <w:rPr>
          <w:rFonts w:ascii="Times New Roman" w:hAnsi="Times New Roman"/>
          <w:sz w:val="28"/>
          <w:szCs w:val="28"/>
          <w:lang w:val="bg-BG"/>
        </w:rPr>
      </w:pPr>
      <w:r w:rsidRPr="00E2627D">
        <w:rPr>
          <w:rFonts w:ascii="Times New Roman" w:hAnsi="Times New Roman"/>
          <w:sz w:val="28"/>
          <w:szCs w:val="28"/>
          <w:lang w:val="bg-BG"/>
        </w:rPr>
        <w:t>Даниел Петров Петров</w:t>
      </w:r>
    </w:p>
    <w:p w14:paraId="69EE95CA" w14:textId="77777777" w:rsidR="00CC7951" w:rsidRPr="00D10483" w:rsidRDefault="00CC7951" w:rsidP="00CC7951">
      <w:pPr>
        <w:rPr>
          <w:rFonts w:ascii="Times New Roman" w:hAnsi="Times New Roman"/>
          <w:sz w:val="60"/>
          <w:szCs w:val="60"/>
        </w:rPr>
      </w:pPr>
    </w:p>
    <w:p w14:paraId="00F55488" w14:textId="593F2991" w:rsidR="00CC7951" w:rsidRPr="00E2627D" w:rsidRDefault="00CC7951" w:rsidP="00CC7951">
      <w:pPr>
        <w:jc w:val="center"/>
        <w:rPr>
          <w:rFonts w:ascii="Times New Roman" w:hAnsi="Times New Roman"/>
          <w:b/>
          <w:sz w:val="32"/>
          <w:szCs w:val="32"/>
          <w:lang w:val="bg-BG"/>
        </w:rPr>
      </w:pPr>
      <w:r w:rsidRPr="00E2627D">
        <w:rPr>
          <w:rFonts w:ascii="Times New Roman" w:hAnsi="Times New Roman"/>
          <w:b/>
          <w:sz w:val="32"/>
          <w:szCs w:val="32"/>
          <w:lang w:val="bg-BG"/>
        </w:rPr>
        <w:t xml:space="preserve">Ролята на устойчивите практики за повишаване на икономическата и екологичната ефективност на земеделските стопанства в контекста на Зелената сделка </w:t>
      </w:r>
    </w:p>
    <w:p w14:paraId="53E104F1" w14:textId="77777777" w:rsidR="00CC7951" w:rsidRDefault="00CC7951" w:rsidP="00CC7951">
      <w:pPr>
        <w:jc w:val="center"/>
        <w:rPr>
          <w:rFonts w:ascii="Times New Roman" w:hAnsi="Times New Roman"/>
          <w:sz w:val="52"/>
          <w:szCs w:val="52"/>
          <w:lang w:val="bg-BG"/>
        </w:rPr>
      </w:pPr>
    </w:p>
    <w:p w14:paraId="5EB89954" w14:textId="043782B9" w:rsidR="00CC7951" w:rsidRPr="00E2627D" w:rsidRDefault="00CC7951" w:rsidP="00CC7951">
      <w:pPr>
        <w:jc w:val="center"/>
        <w:rPr>
          <w:rFonts w:ascii="Times New Roman" w:hAnsi="Times New Roman"/>
          <w:b/>
          <w:sz w:val="32"/>
          <w:szCs w:val="32"/>
          <w:lang w:val="bg-BG"/>
        </w:rPr>
      </w:pPr>
      <w:r w:rsidRPr="00E2627D">
        <w:rPr>
          <w:rFonts w:ascii="Times New Roman" w:hAnsi="Times New Roman"/>
          <w:b/>
          <w:sz w:val="32"/>
          <w:szCs w:val="32"/>
          <w:lang w:val="bg-BG"/>
        </w:rPr>
        <w:t>АВТОРЕФЕРАТ</w:t>
      </w:r>
    </w:p>
    <w:p w14:paraId="6ADF26FF" w14:textId="77777777" w:rsidR="00CC7951" w:rsidRPr="00D10483" w:rsidRDefault="00CC7951" w:rsidP="00CC7951">
      <w:pPr>
        <w:rPr>
          <w:rFonts w:ascii="Times New Roman" w:hAnsi="Times New Roman"/>
          <w:sz w:val="28"/>
          <w:szCs w:val="28"/>
          <w:lang w:val="bg-BG"/>
        </w:rPr>
      </w:pPr>
    </w:p>
    <w:p w14:paraId="0DE7F721" w14:textId="040653EA" w:rsidR="00CC7951" w:rsidRPr="00D10483" w:rsidRDefault="00CC7951" w:rsidP="00CC7951">
      <w:pPr>
        <w:jc w:val="center"/>
        <w:rPr>
          <w:rFonts w:ascii="Times New Roman" w:hAnsi="Times New Roman"/>
          <w:color w:val="000000"/>
          <w:sz w:val="28"/>
          <w:szCs w:val="28"/>
          <w:shd w:val="clear" w:color="auto" w:fill="FFFFFF"/>
          <w:lang w:val="bg-BG"/>
        </w:rPr>
      </w:pPr>
      <w:r>
        <w:rPr>
          <w:rFonts w:ascii="Times New Roman" w:hAnsi="Times New Roman"/>
          <w:color w:val="000000"/>
          <w:sz w:val="28"/>
          <w:szCs w:val="28"/>
          <w:shd w:val="clear" w:color="auto" w:fill="FFFFFF"/>
          <w:lang w:val="bg-BG"/>
        </w:rPr>
        <w:t xml:space="preserve">на дисертационен труд </w:t>
      </w:r>
      <w:r w:rsidRPr="00D10483">
        <w:rPr>
          <w:rFonts w:ascii="Times New Roman" w:hAnsi="Times New Roman"/>
          <w:color w:val="000000"/>
          <w:sz w:val="28"/>
          <w:szCs w:val="28"/>
          <w:shd w:val="clear" w:color="auto" w:fill="FFFFFF"/>
          <w:lang w:val="bg-BG"/>
        </w:rPr>
        <w:t>за присъждане на образователна и научна степен „доктор“</w:t>
      </w:r>
    </w:p>
    <w:p w14:paraId="17007572" w14:textId="77777777" w:rsidR="00CC7951" w:rsidRPr="00D10483" w:rsidRDefault="00CC7951" w:rsidP="00CC7951">
      <w:pPr>
        <w:jc w:val="center"/>
        <w:rPr>
          <w:rFonts w:ascii="Times New Roman" w:hAnsi="Times New Roman"/>
          <w:color w:val="000000"/>
          <w:sz w:val="28"/>
          <w:szCs w:val="28"/>
          <w:shd w:val="clear" w:color="auto" w:fill="FFFFFF"/>
          <w:lang w:val="bg-BG"/>
        </w:rPr>
      </w:pPr>
      <w:r w:rsidRPr="00D10483">
        <w:rPr>
          <w:rFonts w:ascii="Times New Roman" w:hAnsi="Times New Roman"/>
          <w:color w:val="000000"/>
          <w:sz w:val="28"/>
          <w:szCs w:val="28"/>
          <w:shd w:val="clear" w:color="auto" w:fill="FFFFFF"/>
          <w:lang w:val="bg-BG"/>
        </w:rPr>
        <w:t>по научна специалност „Икономика и управление (земеделие)“</w:t>
      </w:r>
    </w:p>
    <w:p w14:paraId="1524F6B2" w14:textId="7E5AF31F" w:rsidR="00CC7951" w:rsidRPr="00D10483" w:rsidRDefault="00CC7951" w:rsidP="00E2627D">
      <w:pPr>
        <w:jc w:val="center"/>
        <w:rPr>
          <w:rFonts w:ascii="Times New Roman" w:hAnsi="Times New Roman"/>
          <w:sz w:val="32"/>
          <w:szCs w:val="32"/>
          <w:lang w:val="bg-BG"/>
        </w:rPr>
      </w:pPr>
      <w:r w:rsidRPr="00D10483">
        <w:rPr>
          <w:rFonts w:ascii="Times New Roman" w:hAnsi="Times New Roman"/>
          <w:color w:val="000000"/>
          <w:sz w:val="28"/>
          <w:szCs w:val="28"/>
          <w:shd w:val="clear" w:color="auto" w:fill="FFFFFF"/>
          <w:lang w:val="bg-BG"/>
        </w:rPr>
        <w:t>професионално направление 3.8 „Икономика“</w:t>
      </w:r>
    </w:p>
    <w:p w14:paraId="4618CEB3" w14:textId="77777777" w:rsidR="00CC7951" w:rsidRPr="00D10483" w:rsidRDefault="00CC7951" w:rsidP="00CC7951">
      <w:pPr>
        <w:jc w:val="center"/>
        <w:rPr>
          <w:rFonts w:ascii="Times New Roman" w:hAnsi="Times New Roman"/>
          <w:sz w:val="32"/>
          <w:szCs w:val="32"/>
          <w:lang w:val="bg-BG"/>
        </w:rPr>
      </w:pPr>
    </w:p>
    <w:p w14:paraId="40BE802B" w14:textId="77777777" w:rsidR="00CC7951" w:rsidRPr="00E2627D" w:rsidRDefault="00CC7951" w:rsidP="00CC7951">
      <w:pPr>
        <w:jc w:val="center"/>
        <w:rPr>
          <w:rFonts w:ascii="Times New Roman" w:hAnsi="Times New Roman"/>
          <w:sz w:val="28"/>
          <w:szCs w:val="28"/>
          <w:lang w:val="bg-BG"/>
        </w:rPr>
      </w:pPr>
      <w:r w:rsidRPr="00E2627D">
        <w:rPr>
          <w:rFonts w:ascii="Times New Roman" w:hAnsi="Times New Roman"/>
          <w:sz w:val="28"/>
          <w:szCs w:val="28"/>
          <w:lang w:val="bg-BG"/>
        </w:rPr>
        <w:t>Научен ръководител:</w:t>
      </w:r>
    </w:p>
    <w:p w14:paraId="6747D4F9" w14:textId="77777777" w:rsidR="00CC7951" w:rsidRPr="00E2627D" w:rsidRDefault="00CC7951" w:rsidP="00CC7951">
      <w:pPr>
        <w:jc w:val="center"/>
        <w:rPr>
          <w:rFonts w:ascii="Times New Roman" w:hAnsi="Times New Roman"/>
          <w:bCs/>
          <w:sz w:val="28"/>
          <w:szCs w:val="28"/>
          <w:lang w:val="bg-BG"/>
        </w:rPr>
      </w:pPr>
      <w:r w:rsidRPr="00E2627D">
        <w:rPr>
          <w:rFonts w:ascii="Times New Roman" w:hAnsi="Times New Roman"/>
          <w:bCs/>
          <w:sz w:val="28"/>
          <w:szCs w:val="28"/>
          <w:lang w:val="bg-BG"/>
        </w:rPr>
        <w:t>Проф. д-р Божидар Иванов</w:t>
      </w:r>
    </w:p>
    <w:p w14:paraId="3DE7B76D" w14:textId="022DEDF7" w:rsidR="00CC7951" w:rsidRDefault="00CC7951" w:rsidP="00E2627D">
      <w:pPr>
        <w:jc w:val="center"/>
        <w:rPr>
          <w:rFonts w:ascii="Times New Roman" w:hAnsi="Times New Roman"/>
          <w:sz w:val="28"/>
          <w:szCs w:val="28"/>
          <w:lang w:val="bg-BG"/>
        </w:rPr>
      </w:pPr>
      <w:r w:rsidRPr="00E2627D">
        <w:rPr>
          <w:rFonts w:ascii="Times New Roman" w:hAnsi="Times New Roman"/>
          <w:sz w:val="28"/>
          <w:szCs w:val="28"/>
          <w:lang w:val="bg-BG"/>
        </w:rPr>
        <w:t>София 2026 г.</w:t>
      </w:r>
    </w:p>
    <w:p w14:paraId="50C336FE" w14:textId="77777777" w:rsidR="00E2627D" w:rsidRDefault="00E2627D" w:rsidP="00E2627D">
      <w:pPr>
        <w:jc w:val="center"/>
        <w:rPr>
          <w:rFonts w:ascii="Times New Roman" w:hAnsi="Times New Roman"/>
          <w:sz w:val="28"/>
          <w:szCs w:val="28"/>
        </w:rPr>
      </w:pPr>
    </w:p>
    <w:sdt>
      <w:sdtPr>
        <w:rPr>
          <w:rFonts w:asciiTheme="minorHAnsi" w:eastAsiaTheme="minorHAnsi" w:hAnsiTheme="minorHAnsi" w:cstheme="minorBidi"/>
          <w:color w:val="auto"/>
          <w:kern w:val="2"/>
          <w:sz w:val="24"/>
          <w:szCs w:val="24"/>
          <w14:ligatures w14:val="standardContextual"/>
        </w:rPr>
        <w:id w:val="-1901664345"/>
        <w:docPartObj>
          <w:docPartGallery w:val="Table of Contents"/>
          <w:docPartUnique/>
        </w:docPartObj>
      </w:sdtPr>
      <w:sdtEndPr>
        <w:rPr>
          <w:b/>
          <w:bCs/>
          <w:noProof/>
        </w:rPr>
      </w:sdtEndPr>
      <w:sdtContent>
        <w:p w14:paraId="2F45827E" w14:textId="1F121D58" w:rsidR="00354760" w:rsidRPr="00354760" w:rsidRDefault="00354760" w:rsidP="00354760">
          <w:pPr>
            <w:pStyle w:val="TOCHeading"/>
            <w:jc w:val="center"/>
            <w:rPr>
              <w:rFonts w:ascii="Times New Roman" w:hAnsi="Times New Roman" w:cs="Times New Roman"/>
              <w:b/>
              <w:bCs/>
              <w:color w:val="auto"/>
              <w:lang w:val="bg-BG"/>
            </w:rPr>
          </w:pPr>
          <w:r w:rsidRPr="00354760">
            <w:rPr>
              <w:rFonts w:ascii="Times New Roman" w:hAnsi="Times New Roman" w:cs="Times New Roman"/>
              <w:b/>
              <w:bCs/>
              <w:color w:val="auto"/>
              <w:lang w:val="bg-BG"/>
            </w:rPr>
            <w:t>СЪДЪРЖАНИЕ</w:t>
          </w:r>
        </w:p>
        <w:p w14:paraId="2B5BED55" w14:textId="7BEB0890" w:rsidR="00354760" w:rsidRPr="00354760" w:rsidRDefault="00354760">
          <w:pPr>
            <w:pStyle w:val="TOC1"/>
            <w:tabs>
              <w:tab w:val="right" w:leader="dot" w:pos="9350"/>
            </w:tabs>
            <w:rPr>
              <w:rFonts w:ascii="Times New Roman" w:hAnsi="Times New Roman" w:cs="Times New Roman"/>
              <w:noProof/>
            </w:rPr>
          </w:pPr>
          <w:r w:rsidRPr="00354760">
            <w:rPr>
              <w:rFonts w:ascii="Times New Roman" w:hAnsi="Times New Roman" w:cs="Times New Roman"/>
            </w:rPr>
            <w:fldChar w:fldCharType="begin"/>
          </w:r>
          <w:r w:rsidRPr="00354760">
            <w:rPr>
              <w:rFonts w:ascii="Times New Roman" w:hAnsi="Times New Roman" w:cs="Times New Roman"/>
            </w:rPr>
            <w:instrText xml:space="preserve"> TOC \o "1-3" \h \z \u </w:instrText>
          </w:r>
          <w:r w:rsidRPr="00354760">
            <w:rPr>
              <w:rFonts w:ascii="Times New Roman" w:hAnsi="Times New Roman" w:cs="Times New Roman"/>
            </w:rPr>
            <w:fldChar w:fldCharType="separate"/>
          </w:r>
          <w:hyperlink w:anchor="_Toc229092797" w:history="1">
            <w:r w:rsidRPr="00354760">
              <w:rPr>
                <w:rStyle w:val="Hyperlink"/>
                <w:rFonts w:ascii="Times New Roman" w:hAnsi="Times New Roman" w:cs="Times New Roman"/>
                <w:b/>
                <w:bCs/>
                <w:noProof/>
                <w:lang w:val="bg-BG"/>
              </w:rPr>
              <w:t>І. ОБЩА ХАРАКТЕРИСТИКА НА ДИСЕРТАЦИОННИЯ ТРУД</w:t>
            </w:r>
            <w:r w:rsidRPr="00354760">
              <w:rPr>
                <w:rFonts w:ascii="Times New Roman" w:hAnsi="Times New Roman" w:cs="Times New Roman"/>
                <w:noProof/>
                <w:webHidden/>
              </w:rPr>
              <w:tab/>
            </w:r>
            <w:r w:rsidRPr="00354760">
              <w:rPr>
                <w:rFonts w:ascii="Times New Roman" w:hAnsi="Times New Roman" w:cs="Times New Roman"/>
                <w:noProof/>
                <w:webHidden/>
              </w:rPr>
              <w:fldChar w:fldCharType="begin"/>
            </w:r>
            <w:r w:rsidRPr="00354760">
              <w:rPr>
                <w:rFonts w:ascii="Times New Roman" w:hAnsi="Times New Roman" w:cs="Times New Roman"/>
                <w:noProof/>
                <w:webHidden/>
              </w:rPr>
              <w:instrText xml:space="preserve"> PAGEREF _Toc229092797 \h </w:instrText>
            </w:r>
            <w:r w:rsidRPr="00354760">
              <w:rPr>
                <w:rFonts w:ascii="Times New Roman" w:hAnsi="Times New Roman" w:cs="Times New Roman"/>
                <w:noProof/>
                <w:webHidden/>
              </w:rPr>
            </w:r>
            <w:r w:rsidRPr="00354760">
              <w:rPr>
                <w:rFonts w:ascii="Times New Roman" w:hAnsi="Times New Roman" w:cs="Times New Roman"/>
                <w:noProof/>
                <w:webHidden/>
              </w:rPr>
              <w:fldChar w:fldCharType="separate"/>
            </w:r>
            <w:r w:rsidRPr="00354760">
              <w:rPr>
                <w:rFonts w:ascii="Times New Roman" w:hAnsi="Times New Roman" w:cs="Times New Roman"/>
                <w:noProof/>
                <w:webHidden/>
              </w:rPr>
              <w:t>2</w:t>
            </w:r>
            <w:r w:rsidRPr="00354760">
              <w:rPr>
                <w:rFonts w:ascii="Times New Roman" w:hAnsi="Times New Roman" w:cs="Times New Roman"/>
                <w:noProof/>
                <w:webHidden/>
              </w:rPr>
              <w:fldChar w:fldCharType="end"/>
            </w:r>
          </w:hyperlink>
        </w:p>
        <w:p w14:paraId="00AC92BA" w14:textId="616A2214" w:rsidR="00354760" w:rsidRPr="00354760" w:rsidRDefault="00354760">
          <w:pPr>
            <w:pStyle w:val="TOC1"/>
            <w:tabs>
              <w:tab w:val="right" w:leader="dot" w:pos="9350"/>
            </w:tabs>
            <w:rPr>
              <w:rFonts w:ascii="Times New Roman" w:hAnsi="Times New Roman" w:cs="Times New Roman"/>
              <w:noProof/>
            </w:rPr>
          </w:pPr>
          <w:hyperlink w:anchor="_Toc229092798" w:history="1">
            <w:r w:rsidRPr="00354760">
              <w:rPr>
                <w:rStyle w:val="Hyperlink"/>
                <w:rFonts w:ascii="Times New Roman" w:hAnsi="Times New Roman" w:cs="Times New Roman"/>
                <w:b/>
                <w:bCs/>
                <w:noProof/>
                <w:lang w:val="bg-BG"/>
              </w:rPr>
              <w:t>II СИНТЕЗИРАНО ИЗЛОЖЕНИЕ НА ДИСЕРТАЦИОННИЯ ТРУД</w:t>
            </w:r>
            <w:r w:rsidRPr="00354760">
              <w:rPr>
                <w:rFonts w:ascii="Times New Roman" w:hAnsi="Times New Roman" w:cs="Times New Roman"/>
                <w:noProof/>
                <w:webHidden/>
              </w:rPr>
              <w:tab/>
            </w:r>
            <w:r w:rsidRPr="00354760">
              <w:rPr>
                <w:rFonts w:ascii="Times New Roman" w:hAnsi="Times New Roman" w:cs="Times New Roman"/>
                <w:noProof/>
                <w:webHidden/>
              </w:rPr>
              <w:fldChar w:fldCharType="begin"/>
            </w:r>
            <w:r w:rsidRPr="00354760">
              <w:rPr>
                <w:rFonts w:ascii="Times New Roman" w:hAnsi="Times New Roman" w:cs="Times New Roman"/>
                <w:noProof/>
                <w:webHidden/>
              </w:rPr>
              <w:instrText xml:space="preserve"> PAGEREF _Toc229092798 \h </w:instrText>
            </w:r>
            <w:r w:rsidRPr="00354760">
              <w:rPr>
                <w:rFonts w:ascii="Times New Roman" w:hAnsi="Times New Roman" w:cs="Times New Roman"/>
                <w:noProof/>
                <w:webHidden/>
              </w:rPr>
            </w:r>
            <w:r w:rsidRPr="00354760">
              <w:rPr>
                <w:rFonts w:ascii="Times New Roman" w:hAnsi="Times New Roman" w:cs="Times New Roman"/>
                <w:noProof/>
                <w:webHidden/>
              </w:rPr>
              <w:fldChar w:fldCharType="separate"/>
            </w:r>
            <w:r w:rsidRPr="00354760">
              <w:rPr>
                <w:rFonts w:ascii="Times New Roman" w:hAnsi="Times New Roman" w:cs="Times New Roman"/>
                <w:noProof/>
                <w:webHidden/>
              </w:rPr>
              <w:t>5</w:t>
            </w:r>
            <w:r w:rsidRPr="00354760">
              <w:rPr>
                <w:rFonts w:ascii="Times New Roman" w:hAnsi="Times New Roman" w:cs="Times New Roman"/>
                <w:noProof/>
                <w:webHidden/>
              </w:rPr>
              <w:fldChar w:fldCharType="end"/>
            </w:r>
          </w:hyperlink>
        </w:p>
        <w:p w14:paraId="77858990" w14:textId="006610C1" w:rsidR="00354760" w:rsidRPr="00354760" w:rsidRDefault="00354760">
          <w:pPr>
            <w:pStyle w:val="TOC2"/>
            <w:tabs>
              <w:tab w:val="right" w:leader="dot" w:pos="9350"/>
            </w:tabs>
            <w:rPr>
              <w:rFonts w:ascii="Times New Roman" w:hAnsi="Times New Roman" w:cs="Times New Roman"/>
              <w:noProof/>
            </w:rPr>
          </w:pPr>
          <w:hyperlink w:anchor="_Toc229092799" w:history="1">
            <w:r w:rsidRPr="00354760">
              <w:rPr>
                <w:rStyle w:val="Hyperlink"/>
                <w:rFonts w:ascii="Times New Roman" w:hAnsi="Times New Roman" w:cs="Times New Roman"/>
                <w:b/>
                <w:bCs/>
                <w:noProof/>
                <w:lang w:val="bg-BG"/>
              </w:rPr>
              <w:t>ГЛАВА ПЪРВА - ТЕОРЕТИЧНА И КОНЦЕПТУАЛНА РАМКА НА ИКОНОМИЧЕСКАТА И ЕКОЛОГИЧНАТА ЕФЕКТИВНОСТ НА ЗЕМЕДЕЛСКИТЕ СТОПАНСТВА В КОНТЕКСТА НА ЗЕЛЕНАТА СДЕЛКА</w:t>
            </w:r>
            <w:r w:rsidRPr="00354760">
              <w:rPr>
                <w:rFonts w:ascii="Times New Roman" w:hAnsi="Times New Roman" w:cs="Times New Roman"/>
                <w:noProof/>
                <w:webHidden/>
              </w:rPr>
              <w:tab/>
            </w:r>
            <w:r w:rsidRPr="00354760">
              <w:rPr>
                <w:rFonts w:ascii="Times New Roman" w:hAnsi="Times New Roman" w:cs="Times New Roman"/>
                <w:noProof/>
                <w:webHidden/>
              </w:rPr>
              <w:fldChar w:fldCharType="begin"/>
            </w:r>
            <w:r w:rsidRPr="00354760">
              <w:rPr>
                <w:rFonts w:ascii="Times New Roman" w:hAnsi="Times New Roman" w:cs="Times New Roman"/>
                <w:noProof/>
                <w:webHidden/>
              </w:rPr>
              <w:instrText xml:space="preserve"> PAGEREF _Toc229092799 \h </w:instrText>
            </w:r>
            <w:r w:rsidRPr="00354760">
              <w:rPr>
                <w:rFonts w:ascii="Times New Roman" w:hAnsi="Times New Roman" w:cs="Times New Roman"/>
                <w:noProof/>
                <w:webHidden/>
              </w:rPr>
            </w:r>
            <w:r w:rsidRPr="00354760">
              <w:rPr>
                <w:rFonts w:ascii="Times New Roman" w:hAnsi="Times New Roman" w:cs="Times New Roman"/>
                <w:noProof/>
                <w:webHidden/>
              </w:rPr>
              <w:fldChar w:fldCharType="separate"/>
            </w:r>
            <w:r w:rsidRPr="00354760">
              <w:rPr>
                <w:rFonts w:ascii="Times New Roman" w:hAnsi="Times New Roman" w:cs="Times New Roman"/>
                <w:noProof/>
                <w:webHidden/>
              </w:rPr>
              <w:t>5</w:t>
            </w:r>
            <w:r w:rsidRPr="00354760">
              <w:rPr>
                <w:rFonts w:ascii="Times New Roman" w:hAnsi="Times New Roman" w:cs="Times New Roman"/>
                <w:noProof/>
                <w:webHidden/>
              </w:rPr>
              <w:fldChar w:fldCharType="end"/>
            </w:r>
          </w:hyperlink>
        </w:p>
        <w:p w14:paraId="58FB48A8" w14:textId="3FDD5064" w:rsidR="00354760" w:rsidRPr="00354760" w:rsidRDefault="00354760">
          <w:pPr>
            <w:pStyle w:val="TOC2"/>
            <w:tabs>
              <w:tab w:val="right" w:leader="dot" w:pos="9350"/>
            </w:tabs>
            <w:rPr>
              <w:rFonts w:ascii="Times New Roman" w:hAnsi="Times New Roman" w:cs="Times New Roman"/>
              <w:noProof/>
            </w:rPr>
          </w:pPr>
          <w:hyperlink w:anchor="_Toc229092800" w:history="1">
            <w:r w:rsidRPr="00354760">
              <w:rPr>
                <w:rStyle w:val="Hyperlink"/>
                <w:rFonts w:ascii="Times New Roman" w:hAnsi="Times New Roman" w:cs="Times New Roman"/>
                <w:b/>
                <w:bCs/>
                <w:noProof/>
                <w:lang w:val="bg-BG"/>
              </w:rPr>
              <w:t>ГЛАВА ВТОРА: МЕТОДИЧЕСКИ ПОДХОДИ ЗА ОЦЕНКА НА ИКОНОМИЧЕСКАТА И ЕКОЛОГИЧНАТА ЕФЕКТИВНОСТ НА ЗЕМЕДЕЛСКИ СТОПАНСТВА В КОНТЕКСТА НА ЗЕЛЕНАТА СДЕЛКА</w:t>
            </w:r>
            <w:r w:rsidRPr="00354760">
              <w:rPr>
                <w:rFonts w:ascii="Times New Roman" w:hAnsi="Times New Roman" w:cs="Times New Roman"/>
                <w:noProof/>
                <w:webHidden/>
              </w:rPr>
              <w:tab/>
            </w:r>
            <w:r w:rsidRPr="00354760">
              <w:rPr>
                <w:rFonts w:ascii="Times New Roman" w:hAnsi="Times New Roman" w:cs="Times New Roman"/>
                <w:noProof/>
                <w:webHidden/>
              </w:rPr>
              <w:fldChar w:fldCharType="begin"/>
            </w:r>
            <w:r w:rsidRPr="00354760">
              <w:rPr>
                <w:rFonts w:ascii="Times New Roman" w:hAnsi="Times New Roman" w:cs="Times New Roman"/>
                <w:noProof/>
                <w:webHidden/>
              </w:rPr>
              <w:instrText xml:space="preserve"> PAGEREF _Toc229092800 \h </w:instrText>
            </w:r>
            <w:r w:rsidRPr="00354760">
              <w:rPr>
                <w:rFonts w:ascii="Times New Roman" w:hAnsi="Times New Roman" w:cs="Times New Roman"/>
                <w:noProof/>
                <w:webHidden/>
              </w:rPr>
            </w:r>
            <w:r w:rsidRPr="00354760">
              <w:rPr>
                <w:rFonts w:ascii="Times New Roman" w:hAnsi="Times New Roman" w:cs="Times New Roman"/>
                <w:noProof/>
                <w:webHidden/>
              </w:rPr>
              <w:fldChar w:fldCharType="separate"/>
            </w:r>
            <w:r w:rsidRPr="00354760">
              <w:rPr>
                <w:rFonts w:ascii="Times New Roman" w:hAnsi="Times New Roman" w:cs="Times New Roman"/>
                <w:noProof/>
                <w:webHidden/>
              </w:rPr>
              <w:t>15</w:t>
            </w:r>
            <w:r w:rsidRPr="00354760">
              <w:rPr>
                <w:rFonts w:ascii="Times New Roman" w:hAnsi="Times New Roman" w:cs="Times New Roman"/>
                <w:noProof/>
                <w:webHidden/>
              </w:rPr>
              <w:fldChar w:fldCharType="end"/>
            </w:r>
          </w:hyperlink>
        </w:p>
        <w:p w14:paraId="3B1F3743" w14:textId="5100F7B0" w:rsidR="00354760" w:rsidRPr="00354760" w:rsidRDefault="00354760">
          <w:pPr>
            <w:pStyle w:val="TOC2"/>
            <w:tabs>
              <w:tab w:val="right" w:leader="dot" w:pos="9350"/>
            </w:tabs>
            <w:rPr>
              <w:rFonts w:ascii="Times New Roman" w:hAnsi="Times New Roman" w:cs="Times New Roman"/>
              <w:noProof/>
            </w:rPr>
          </w:pPr>
          <w:hyperlink w:anchor="_Toc229092801" w:history="1">
            <w:r w:rsidRPr="00354760">
              <w:rPr>
                <w:rStyle w:val="Hyperlink"/>
                <w:rFonts w:ascii="Times New Roman" w:hAnsi="Times New Roman" w:cs="Times New Roman"/>
                <w:b/>
                <w:bCs/>
                <w:noProof/>
                <w:lang w:val="bg-BG"/>
              </w:rPr>
              <w:t>ГЛАВА ТРЕТА: СЪСТОЯНИЕ И НАСОКИ ЗА ПОВИШАВАНЕ НА ИКОНОМИЧЕСКАТА И ЕКОЛОГИЧНАТА ЕФЕКТИВНОСТ НА БЪЛГАРСКИТЕ ЗЕМЕДЕЛСКИ СТОПАНСТВА</w:t>
            </w:r>
            <w:r w:rsidRPr="00354760">
              <w:rPr>
                <w:rFonts w:ascii="Times New Roman" w:hAnsi="Times New Roman" w:cs="Times New Roman"/>
                <w:noProof/>
                <w:webHidden/>
              </w:rPr>
              <w:tab/>
            </w:r>
            <w:r w:rsidRPr="00354760">
              <w:rPr>
                <w:rFonts w:ascii="Times New Roman" w:hAnsi="Times New Roman" w:cs="Times New Roman"/>
                <w:noProof/>
                <w:webHidden/>
              </w:rPr>
              <w:fldChar w:fldCharType="begin"/>
            </w:r>
            <w:r w:rsidRPr="00354760">
              <w:rPr>
                <w:rFonts w:ascii="Times New Roman" w:hAnsi="Times New Roman" w:cs="Times New Roman"/>
                <w:noProof/>
                <w:webHidden/>
              </w:rPr>
              <w:instrText xml:space="preserve"> PAGEREF _Toc229092801 \h </w:instrText>
            </w:r>
            <w:r w:rsidRPr="00354760">
              <w:rPr>
                <w:rFonts w:ascii="Times New Roman" w:hAnsi="Times New Roman" w:cs="Times New Roman"/>
                <w:noProof/>
                <w:webHidden/>
              </w:rPr>
            </w:r>
            <w:r w:rsidRPr="00354760">
              <w:rPr>
                <w:rFonts w:ascii="Times New Roman" w:hAnsi="Times New Roman" w:cs="Times New Roman"/>
                <w:noProof/>
                <w:webHidden/>
              </w:rPr>
              <w:fldChar w:fldCharType="separate"/>
            </w:r>
            <w:r w:rsidRPr="00354760">
              <w:rPr>
                <w:rFonts w:ascii="Times New Roman" w:hAnsi="Times New Roman" w:cs="Times New Roman"/>
                <w:noProof/>
                <w:webHidden/>
              </w:rPr>
              <w:t>25</w:t>
            </w:r>
            <w:r w:rsidRPr="00354760">
              <w:rPr>
                <w:rFonts w:ascii="Times New Roman" w:hAnsi="Times New Roman" w:cs="Times New Roman"/>
                <w:noProof/>
                <w:webHidden/>
              </w:rPr>
              <w:fldChar w:fldCharType="end"/>
            </w:r>
          </w:hyperlink>
        </w:p>
        <w:p w14:paraId="3797E433" w14:textId="625F5A96" w:rsidR="00354760" w:rsidRPr="00354760" w:rsidRDefault="00354760">
          <w:pPr>
            <w:pStyle w:val="TOC2"/>
            <w:tabs>
              <w:tab w:val="right" w:leader="dot" w:pos="9350"/>
            </w:tabs>
            <w:rPr>
              <w:rFonts w:ascii="Times New Roman" w:hAnsi="Times New Roman" w:cs="Times New Roman"/>
              <w:noProof/>
            </w:rPr>
          </w:pPr>
          <w:hyperlink w:anchor="_Toc229092802" w:history="1">
            <w:r w:rsidRPr="00354760">
              <w:rPr>
                <w:rStyle w:val="Hyperlink"/>
                <w:rFonts w:ascii="Times New Roman" w:hAnsi="Times New Roman" w:cs="Times New Roman"/>
                <w:b/>
                <w:bCs/>
                <w:noProof/>
                <w:lang w:val="bg-BG"/>
              </w:rPr>
              <w:t>ГЛАВА ЧЕТВЪРТА: ПРИЛОЖИМИ ИЗМЕРЕНИЯ И ПРЕПОРЪКИ ЗА ПОВИШАВАНЕ НА ИКОНОМИЧЕСКАТА И ЕКОЛОГИЧНАТА ЕФЕКТИВНОСТ НА ЗЕМЕДЕЛСКИТЕ СТОПАНСТВА В УСЛОВИЯТА НА ЗЕЛЕНАТА СДЕЛКА НА ЕС</w:t>
            </w:r>
            <w:r w:rsidRPr="00354760">
              <w:rPr>
                <w:rFonts w:ascii="Times New Roman" w:hAnsi="Times New Roman" w:cs="Times New Roman"/>
                <w:noProof/>
                <w:webHidden/>
              </w:rPr>
              <w:tab/>
            </w:r>
            <w:r w:rsidRPr="00354760">
              <w:rPr>
                <w:rFonts w:ascii="Times New Roman" w:hAnsi="Times New Roman" w:cs="Times New Roman"/>
                <w:noProof/>
                <w:webHidden/>
              </w:rPr>
              <w:fldChar w:fldCharType="begin"/>
            </w:r>
            <w:r w:rsidRPr="00354760">
              <w:rPr>
                <w:rFonts w:ascii="Times New Roman" w:hAnsi="Times New Roman" w:cs="Times New Roman"/>
                <w:noProof/>
                <w:webHidden/>
              </w:rPr>
              <w:instrText xml:space="preserve"> PAGEREF _Toc229092802 \h </w:instrText>
            </w:r>
            <w:r w:rsidRPr="00354760">
              <w:rPr>
                <w:rFonts w:ascii="Times New Roman" w:hAnsi="Times New Roman" w:cs="Times New Roman"/>
                <w:noProof/>
                <w:webHidden/>
              </w:rPr>
            </w:r>
            <w:r w:rsidRPr="00354760">
              <w:rPr>
                <w:rFonts w:ascii="Times New Roman" w:hAnsi="Times New Roman" w:cs="Times New Roman"/>
                <w:noProof/>
                <w:webHidden/>
              </w:rPr>
              <w:fldChar w:fldCharType="separate"/>
            </w:r>
            <w:r w:rsidRPr="00354760">
              <w:rPr>
                <w:rFonts w:ascii="Times New Roman" w:hAnsi="Times New Roman" w:cs="Times New Roman"/>
                <w:noProof/>
                <w:webHidden/>
              </w:rPr>
              <w:t>37</w:t>
            </w:r>
            <w:r w:rsidRPr="00354760">
              <w:rPr>
                <w:rFonts w:ascii="Times New Roman" w:hAnsi="Times New Roman" w:cs="Times New Roman"/>
                <w:noProof/>
                <w:webHidden/>
              </w:rPr>
              <w:fldChar w:fldCharType="end"/>
            </w:r>
          </w:hyperlink>
        </w:p>
        <w:p w14:paraId="591A50B7" w14:textId="00575E4B" w:rsidR="00354760" w:rsidRPr="00354760" w:rsidRDefault="00354760">
          <w:pPr>
            <w:pStyle w:val="TOC2"/>
            <w:tabs>
              <w:tab w:val="right" w:leader="dot" w:pos="9350"/>
            </w:tabs>
            <w:rPr>
              <w:rFonts w:ascii="Times New Roman" w:hAnsi="Times New Roman" w:cs="Times New Roman"/>
              <w:noProof/>
            </w:rPr>
          </w:pPr>
          <w:hyperlink w:anchor="_Toc229092803" w:history="1">
            <w:r w:rsidRPr="00354760">
              <w:rPr>
                <w:rStyle w:val="Hyperlink"/>
                <w:rFonts w:ascii="Times New Roman" w:hAnsi="Times New Roman" w:cs="Times New Roman"/>
                <w:b/>
                <w:bCs/>
                <w:noProof/>
                <w:lang w:val="bg-BG"/>
              </w:rPr>
              <w:t>ОБОБЩЕНИЕ</w:t>
            </w:r>
            <w:r w:rsidRPr="00354760">
              <w:rPr>
                <w:rFonts w:ascii="Times New Roman" w:hAnsi="Times New Roman" w:cs="Times New Roman"/>
                <w:noProof/>
                <w:webHidden/>
              </w:rPr>
              <w:tab/>
            </w:r>
            <w:r w:rsidRPr="00354760">
              <w:rPr>
                <w:rFonts w:ascii="Times New Roman" w:hAnsi="Times New Roman" w:cs="Times New Roman"/>
                <w:noProof/>
                <w:webHidden/>
              </w:rPr>
              <w:fldChar w:fldCharType="begin"/>
            </w:r>
            <w:r w:rsidRPr="00354760">
              <w:rPr>
                <w:rFonts w:ascii="Times New Roman" w:hAnsi="Times New Roman" w:cs="Times New Roman"/>
                <w:noProof/>
                <w:webHidden/>
              </w:rPr>
              <w:instrText xml:space="preserve"> PAGEREF _Toc229092803 \h </w:instrText>
            </w:r>
            <w:r w:rsidRPr="00354760">
              <w:rPr>
                <w:rFonts w:ascii="Times New Roman" w:hAnsi="Times New Roman" w:cs="Times New Roman"/>
                <w:noProof/>
                <w:webHidden/>
              </w:rPr>
            </w:r>
            <w:r w:rsidRPr="00354760">
              <w:rPr>
                <w:rFonts w:ascii="Times New Roman" w:hAnsi="Times New Roman" w:cs="Times New Roman"/>
                <w:noProof/>
                <w:webHidden/>
              </w:rPr>
              <w:fldChar w:fldCharType="separate"/>
            </w:r>
            <w:r w:rsidRPr="00354760">
              <w:rPr>
                <w:rFonts w:ascii="Times New Roman" w:hAnsi="Times New Roman" w:cs="Times New Roman"/>
                <w:noProof/>
                <w:webHidden/>
              </w:rPr>
              <w:t>41</w:t>
            </w:r>
            <w:r w:rsidRPr="00354760">
              <w:rPr>
                <w:rFonts w:ascii="Times New Roman" w:hAnsi="Times New Roman" w:cs="Times New Roman"/>
                <w:noProof/>
                <w:webHidden/>
              </w:rPr>
              <w:fldChar w:fldCharType="end"/>
            </w:r>
          </w:hyperlink>
        </w:p>
        <w:p w14:paraId="619774AA" w14:textId="669F12B5" w:rsidR="00354760" w:rsidRPr="00354760" w:rsidRDefault="00354760">
          <w:pPr>
            <w:pStyle w:val="TOC2"/>
            <w:tabs>
              <w:tab w:val="right" w:leader="dot" w:pos="9350"/>
            </w:tabs>
            <w:rPr>
              <w:rFonts w:ascii="Times New Roman" w:hAnsi="Times New Roman" w:cs="Times New Roman"/>
              <w:noProof/>
            </w:rPr>
          </w:pPr>
          <w:hyperlink w:anchor="_Toc229092804" w:history="1">
            <w:r w:rsidRPr="00354760">
              <w:rPr>
                <w:rStyle w:val="Hyperlink"/>
                <w:rFonts w:ascii="Times New Roman" w:hAnsi="Times New Roman" w:cs="Times New Roman"/>
                <w:b/>
                <w:bCs/>
                <w:noProof/>
                <w:lang w:val="bg-BG"/>
              </w:rPr>
              <w:t>СПРАВКА НА ОСНОВНИТЕ НАУЧНИ И НАУЧНО-ПРИЛОЖНИ ПРИНОСИ В ДИСЕРТАЦИОННИЯ ТРУД</w:t>
            </w:r>
            <w:r w:rsidRPr="00354760">
              <w:rPr>
                <w:rFonts w:ascii="Times New Roman" w:hAnsi="Times New Roman" w:cs="Times New Roman"/>
                <w:noProof/>
                <w:webHidden/>
              </w:rPr>
              <w:tab/>
            </w:r>
            <w:r w:rsidRPr="00354760">
              <w:rPr>
                <w:rFonts w:ascii="Times New Roman" w:hAnsi="Times New Roman" w:cs="Times New Roman"/>
                <w:noProof/>
                <w:webHidden/>
              </w:rPr>
              <w:fldChar w:fldCharType="begin"/>
            </w:r>
            <w:r w:rsidRPr="00354760">
              <w:rPr>
                <w:rFonts w:ascii="Times New Roman" w:hAnsi="Times New Roman" w:cs="Times New Roman"/>
                <w:noProof/>
                <w:webHidden/>
              </w:rPr>
              <w:instrText xml:space="preserve"> PAGEREF _Toc229092804 \h </w:instrText>
            </w:r>
            <w:r w:rsidRPr="00354760">
              <w:rPr>
                <w:rFonts w:ascii="Times New Roman" w:hAnsi="Times New Roman" w:cs="Times New Roman"/>
                <w:noProof/>
                <w:webHidden/>
              </w:rPr>
            </w:r>
            <w:r w:rsidRPr="00354760">
              <w:rPr>
                <w:rFonts w:ascii="Times New Roman" w:hAnsi="Times New Roman" w:cs="Times New Roman"/>
                <w:noProof/>
                <w:webHidden/>
              </w:rPr>
              <w:fldChar w:fldCharType="separate"/>
            </w:r>
            <w:r w:rsidRPr="00354760">
              <w:rPr>
                <w:rFonts w:ascii="Times New Roman" w:hAnsi="Times New Roman" w:cs="Times New Roman"/>
                <w:noProof/>
                <w:webHidden/>
              </w:rPr>
              <w:t>44</w:t>
            </w:r>
            <w:r w:rsidRPr="00354760">
              <w:rPr>
                <w:rFonts w:ascii="Times New Roman" w:hAnsi="Times New Roman" w:cs="Times New Roman"/>
                <w:noProof/>
                <w:webHidden/>
              </w:rPr>
              <w:fldChar w:fldCharType="end"/>
            </w:r>
          </w:hyperlink>
        </w:p>
        <w:p w14:paraId="4F93F2BC" w14:textId="62A95DEB" w:rsidR="00354760" w:rsidRPr="009C6376" w:rsidRDefault="00354760" w:rsidP="009C6376">
          <w:r w:rsidRPr="00354760">
            <w:rPr>
              <w:rFonts w:ascii="Times New Roman" w:hAnsi="Times New Roman" w:cs="Times New Roman"/>
              <w:b/>
              <w:bCs/>
              <w:noProof/>
            </w:rPr>
            <w:fldChar w:fldCharType="end"/>
          </w:r>
        </w:p>
      </w:sdtContent>
    </w:sdt>
    <w:p w14:paraId="51995D77" w14:textId="7A12CA4C" w:rsidR="003C796C" w:rsidRPr="0037603C" w:rsidRDefault="003C796C" w:rsidP="0037603C">
      <w:pPr>
        <w:pStyle w:val="Heading1"/>
        <w:rPr>
          <w:rFonts w:ascii="Times New Roman" w:hAnsi="Times New Roman" w:cs="Times New Roman"/>
          <w:b/>
          <w:bCs/>
          <w:color w:val="auto"/>
          <w:sz w:val="28"/>
          <w:szCs w:val="28"/>
          <w:lang w:val="bg-BG"/>
        </w:rPr>
      </w:pPr>
      <w:bookmarkStart w:id="0" w:name="_Toc229092797"/>
      <w:r w:rsidRPr="0037603C">
        <w:rPr>
          <w:rFonts w:ascii="Times New Roman" w:hAnsi="Times New Roman" w:cs="Times New Roman"/>
          <w:b/>
          <w:bCs/>
          <w:color w:val="auto"/>
          <w:sz w:val="28"/>
          <w:szCs w:val="28"/>
          <w:lang w:val="bg-BG"/>
        </w:rPr>
        <w:t>І. ОБЩА ХАРАКТЕРИСТИКА НА ДИСЕРТАЦИОННИЯ ТРУД</w:t>
      </w:r>
      <w:bookmarkEnd w:id="0"/>
    </w:p>
    <w:p w14:paraId="03A38E2D" w14:textId="15621D0D" w:rsidR="003C796C" w:rsidRPr="00CB784E" w:rsidRDefault="003C796C" w:rsidP="003C796C">
      <w:pPr>
        <w:spacing w:line="360" w:lineRule="auto"/>
        <w:jc w:val="both"/>
        <w:rPr>
          <w:rFonts w:ascii="Times New Roman" w:hAnsi="Times New Roman" w:cs="Times New Roman"/>
          <w:b/>
          <w:bCs/>
          <w:lang w:val="bg-BG"/>
        </w:rPr>
      </w:pPr>
      <w:r w:rsidRPr="00CB784E">
        <w:rPr>
          <w:rFonts w:ascii="Times New Roman" w:hAnsi="Times New Roman" w:cs="Times New Roman"/>
          <w:b/>
          <w:bCs/>
          <w:lang w:val="bg-BG"/>
        </w:rPr>
        <w:t>Актуалност на изследвания проблем</w:t>
      </w:r>
    </w:p>
    <w:p w14:paraId="56EDA12D" w14:textId="77777777" w:rsidR="00662760" w:rsidRDefault="00662760" w:rsidP="00662760">
      <w:pPr>
        <w:spacing w:line="360" w:lineRule="auto"/>
        <w:ind w:firstLine="720"/>
        <w:jc w:val="both"/>
        <w:rPr>
          <w:rFonts w:ascii="Times New Roman" w:hAnsi="Times New Roman"/>
          <w:lang w:val="bg-BG"/>
        </w:rPr>
      </w:pPr>
      <w:r w:rsidRPr="007046A2">
        <w:rPr>
          <w:rFonts w:ascii="Times New Roman" w:hAnsi="Times New Roman"/>
          <w:lang w:val="bg-BG"/>
        </w:rPr>
        <w:t>Аграрният сектор на България</w:t>
      </w:r>
      <w:r>
        <w:rPr>
          <w:rFonts w:ascii="Times New Roman" w:hAnsi="Times New Roman"/>
          <w:lang w:val="bg-BG"/>
        </w:rPr>
        <w:t xml:space="preserve">, </w:t>
      </w:r>
      <w:r w:rsidRPr="007046A2">
        <w:rPr>
          <w:rFonts w:ascii="Times New Roman" w:hAnsi="Times New Roman"/>
          <w:lang w:val="bg-BG"/>
        </w:rPr>
        <w:t>подобно на другите страни – членки на ЕС,</w:t>
      </w:r>
      <w:r>
        <w:rPr>
          <w:rFonts w:ascii="Times New Roman" w:hAnsi="Times New Roman"/>
          <w:lang w:val="bg-BG"/>
        </w:rPr>
        <w:t xml:space="preserve"> </w:t>
      </w:r>
      <w:r w:rsidRPr="007046A2">
        <w:rPr>
          <w:rFonts w:ascii="Times New Roman" w:hAnsi="Times New Roman"/>
          <w:lang w:val="bg-BG"/>
        </w:rPr>
        <w:t xml:space="preserve">навлиза в етап на дълбока структурна трансформация, обусловена от засилващото се въздействие на климатичните промени, заплахите пред биоразнообразието и нарастващите нормативни изисквания за устойчивост. В контекста на тази стратегическа преориентация, </w:t>
      </w:r>
      <w:r>
        <w:rPr>
          <w:rFonts w:ascii="Times New Roman" w:hAnsi="Times New Roman"/>
          <w:lang w:val="bg-BG"/>
        </w:rPr>
        <w:t>П</w:t>
      </w:r>
      <w:r w:rsidRPr="007046A2">
        <w:rPr>
          <w:rFonts w:ascii="Times New Roman" w:hAnsi="Times New Roman"/>
          <w:lang w:val="bg-BG"/>
        </w:rPr>
        <w:t xml:space="preserve">рез 2019 г. </w:t>
      </w:r>
      <w:r>
        <w:rPr>
          <w:rFonts w:ascii="Times New Roman" w:hAnsi="Times New Roman"/>
          <w:lang w:val="bg-BG"/>
        </w:rPr>
        <w:t>Европейската комисия анонсира</w:t>
      </w:r>
      <w:r w:rsidRPr="007046A2">
        <w:rPr>
          <w:rFonts w:ascii="Times New Roman" w:hAnsi="Times New Roman"/>
          <w:lang w:val="bg-BG"/>
        </w:rPr>
        <w:t xml:space="preserve"> Европейския зелен пакт, известен като „Зелената сделка" (European Green Deal), чиито конкретни цели за аграрния сектор са разписани в стратегиите „От фермата до трапезата" и „Стратегията за биоразнообразието до 2030 г." (European Commission, 2019a, 2019b). Зелената сделка представлява дългосрочна рамка за постигане на климатична неутралност до 2050 г., основана на интерсекторен подход и съгласуваност между икономически, екологични и социални цели. За разлика от предходни периоди на </w:t>
      </w:r>
      <w:r w:rsidRPr="007046A2">
        <w:rPr>
          <w:rFonts w:ascii="Times New Roman" w:hAnsi="Times New Roman"/>
          <w:lang w:val="bg-BG"/>
        </w:rPr>
        <w:lastRenderedPageBreak/>
        <w:t>Общата селскостопанска политика (ОСП), тя въвежда нова управленска парадигма, насочена към повишаване на ресурсната ефективност, опазване на биоразнообразието, минимизиране на въглеродните емисии и устойчиво развитие (Huber et al., 2021; Pe'er et al., 2020).</w:t>
      </w:r>
      <w:r>
        <w:rPr>
          <w:rFonts w:ascii="Times New Roman" w:hAnsi="Times New Roman"/>
          <w:lang w:val="bg-BG"/>
        </w:rPr>
        <w:t xml:space="preserve"> </w:t>
      </w:r>
    </w:p>
    <w:p w14:paraId="36C6511B" w14:textId="77777777" w:rsidR="009E1DBA" w:rsidRDefault="00662760" w:rsidP="00662760">
      <w:pPr>
        <w:spacing w:line="360" w:lineRule="auto"/>
        <w:ind w:firstLine="720"/>
        <w:jc w:val="both"/>
        <w:rPr>
          <w:rFonts w:ascii="Times New Roman" w:hAnsi="Times New Roman"/>
          <w:lang w:val="bg-BG"/>
        </w:rPr>
      </w:pPr>
      <w:r>
        <w:rPr>
          <w:rFonts w:ascii="Times New Roman" w:hAnsi="Times New Roman"/>
          <w:lang w:val="bg-BG"/>
        </w:rPr>
        <w:t xml:space="preserve">Специфично за България, аграрният сектор се </w:t>
      </w:r>
      <w:r w:rsidRPr="007046A2">
        <w:rPr>
          <w:rFonts w:ascii="Times New Roman" w:hAnsi="Times New Roman"/>
          <w:lang w:val="bg-BG"/>
        </w:rPr>
        <w:t xml:space="preserve">характеризира с изразена структурна фрагментация, регионални асиметрии в производителността и значително разнообразие на организационно-икономическите форми — от индустриални стопанства с висока степен на механизация и пазарна интеграция до малки </w:t>
      </w:r>
      <w:r>
        <w:rPr>
          <w:rFonts w:ascii="Times New Roman" w:hAnsi="Times New Roman"/>
          <w:lang w:val="bg-BG"/>
        </w:rPr>
        <w:t xml:space="preserve">фамилни стопанста </w:t>
      </w:r>
      <w:r w:rsidRPr="007046A2">
        <w:rPr>
          <w:rFonts w:ascii="Times New Roman" w:hAnsi="Times New Roman"/>
          <w:lang w:val="bg-BG"/>
        </w:rPr>
        <w:t xml:space="preserve">(Koteva </w:t>
      </w:r>
      <w:r>
        <w:rPr>
          <w:rFonts w:ascii="Times New Roman" w:hAnsi="Times New Roman"/>
        </w:rPr>
        <w:t>and</w:t>
      </w:r>
      <w:r w:rsidRPr="007046A2">
        <w:rPr>
          <w:rFonts w:ascii="Times New Roman" w:hAnsi="Times New Roman"/>
          <w:lang w:val="bg-BG"/>
        </w:rPr>
        <w:t xml:space="preserve"> Ivanov, 2020; Bachev, 2022). Тези структурни характеристики определят рамката, в която се прилага Зелената сделка в страната, и обуславят необходимостта от задълбочено изследване на нейните ефекти върху различните типове стопанства. </w:t>
      </w:r>
      <w:r>
        <w:rPr>
          <w:rFonts w:ascii="Times New Roman" w:hAnsi="Times New Roman"/>
          <w:lang w:val="bg-BG"/>
        </w:rPr>
        <w:t>В този контекст п</w:t>
      </w:r>
      <w:r w:rsidRPr="007046A2">
        <w:rPr>
          <w:rFonts w:ascii="Times New Roman" w:hAnsi="Times New Roman"/>
          <w:lang w:val="bg-BG"/>
        </w:rPr>
        <w:t xml:space="preserve">рилагането на устойчиви практики открива реални възможности за технологична модернизация и интеграция в нисковъглеродни производствени модели, наред с предизвикателствата, породени от изискванията за </w:t>
      </w:r>
      <w:r>
        <w:rPr>
          <w:rFonts w:ascii="Times New Roman" w:hAnsi="Times New Roman"/>
          <w:lang w:val="bg-BG"/>
        </w:rPr>
        <w:t>трансформация на производството</w:t>
      </w:r>
      <w:r w:rsidRPr="007046A2">
        <w:rPr>
          <w:rFonts w:ascii="Times New Roman" w:hAnsi="Times New Roman"/>
          <w:lang w:val="bg-BG"/>
        </w:rPr>
        <w:t>.</w:t>
      </w:r>
      <w:r>
        <w:rPr>
          <w:rFonts w:ascii="Times New Roman" w:hAnsi="Times New Roman"/>
          <w:lang w:val="bg-BG"/>
        </w:rPr>
        <w:t xml:space="preserve"> </w:t>
      </w:r>
      <w:r w:rsidRPr="007046A2">
        <w:rPr>
          <w:rFonts w:ascii="Times New Roman" w:hAnsi="Times New Roman"/>
          <w:lang w:val="bg-BG"/>
        </w:rPr>
        <w:t>Съществуващата литература за въздействието на Зелената сделка върху земеделието е предимно ориентирана към макроикономически и отраслови анализи — прогнози за производство,</w:t>
      </w:r>
      <w:r>
        <w:rPr>
          <w:rFonts w:ascii="Times New Roman" w:hAnsi="Times New Roman"/>
          <w:lang w:val="bg-BG"/>
        </w:rPr>
        <w:t xml:space="preserve"> </w:t>
      </w:r>
      <w:r w:rsidRPr="007046A2">
        <w:rPr>
          <w:rFonts w:ascii="Times New Roman" w:hAnsi="Times New Roman"/>
          <w:lang w:val="bg-BG"/>
        </w:rPr>
        <w:t>секторни доходи</w:t>
      </w:r>
      <w:r>
        <w:rPr>
          <w:rFonts w:ascii="Times New Roman" w:hAnsi="Times New Roman"/>
          <w:lang w:val="bg-BG"/>
        </w:rPr>
        <w:t xml:space="preserve"> и др.</w:t>
      </w:r>
      <w:r w:rsidRPr="007046A2">
        <w:rPr>
          <w:rFonts w:ascii="Times New Roman" w:hAnsi="Times New Roman"/>
          <w:lang w:val="bg-BG"/>
        </w:rPr>
        <w:t xml:space="preserve"> (Beckman et al., 2020; Janssen et al., 2021; Fontagné et al., 2022). Тези изследвания формират солидна аналитична основа, която по своята природа не адресира диференцираното въздействие на Зелената сделка върху отделните типове стопанства и не оценява икономическата и екологичната ефективност на устойчивите практики на микроикономическо ниво. Редица автори в Централна и Източна Европа вече насочват вниманието </w:t>
      </w:r>
      <w:r>
        <w:rPr>
          <w:rFonts w:ascii="Times New Roman" w:hAnsi="Times New Roman"/>
          <w:lang w:val="bg-BG"/>
        </w:rPr>
        <w:t xml:space="preserve">си </w:t>
      </w:r>
      <w:r w:rsidRPr="007046A2">
        <w:rPr>
          <w:rFonts w:ascii="Times New Roman" w:hAnsi="Times New Roman"/>
          <w:lang w:val="bg-BG"/>
        </w:rPr>
        <w:t xml:space="preserve">към прилагането на Зелената сделка в страни с разнородна </w:t>
      </w:r>
      <w:r>
        <w:rPr>
          <w:rFonts w:ascii="Times New Roman" w:hAnsi="Times New Roman"/>
          <w:lang w:val="bg-BG"/>
        </w:rPr>
        <w:t>структура на земеделските стопанства</w:t>
      </w:r>
      <w:r w:rsidRPr="007046A2">
        <w:rPr>
          <w:rFonts w:ascii="Times New Roman" w:hAnsi="Times New Roman"/>
          <w:lang w:val="bg-BG"/>
        </w:rPr>
        <w:t xml:space="preserve"> (Loughrey et al., 2022; Vrček et al., 2023). </w:t>
      </w:r>
      <w:r w:rsidRPr="00F47919">
        <w:rPr>
          <w:rFonts w:ascii="Times New Roman" w:hAnsi="Times New Roman"/>
          <w:lang w:val="bg-BG"/>
        </w:rPr>
        <w:t xml:space="preserve">В България изследванията в тази област обхващат широк спектър от аналитични перспективи — от концептуалните и институционални аспекти на устойчивостта и организационно-икономическите модели на земеделските стопанства до екологичните измерения на аграрната политика (Bachev </w:t>
      </w:r>
      <w:r>
        <w:rPr>
          <w:rFonts w:ascii="Times New Roman" w:hAnsi="Times New Roman"/>
        </w:rPr>
        <w:t>and</w:t>
      </w:r>
      <w:r w:rsidRPr="00F47919">
        <w:rPr>
          <w:rFonts w:ascii="Times New Roman" w:hAnsi="Times New Roman"/>
          <w:lang w:val="bg-BG"/>
        </w:rPr>
        <w:t xml:space="preserve"> Ivanov, 2025; Georgiev, 2024; Plachkova, 2025).</w:t>
      </w:r>
      <w:r>
        <w:rPr>
          <w:rFonts w:ascii="Times New Roman" w:hAnsi="Times New Roman"/>
        </w:rPr>
        <w:t xml:space="preserve"> </w:t>
      </w:r>
      <w:r>
        <w:rPr>
          <w:rFonts w:ascii="Times New Roman" w:hAnsi="Times New Roman"/>
          <w:lang w:val="bg-BG"/>
        </w:rPr>
        <w:t xml:space="preserve"> </w:t>
      </w:r>
    </w:p>
    <w:p w14:paraId="754D21B2" w14:textId="0FE09BD1" w:rsidR="00662760" w:rsidRDefault="00662760" w:rsidP="00662760">
      <w:pPr>
        <w:spacing w:line="360" w:lineRule="auto"/>
        <w:ind w:firstLine="720"/>
        <w:jc w:val="both"/>
        <w:rPr>
          <w:rFonts w:ascii="Times New Roman" w:hAnsi="Times New Roman"/>
          <w:lang w:val="bg-BG"/>
        </w:rPr>
      </w:pPr>
      <w:r w:rsidRPr="00CB3AFB">
        <w:rPr>
          <w:rFonts w:ascii="Times New Roman" w:hAnsi="Times New Roman"/>
          <w:lang w:val="bg-BG"/>
        </w:rPr>
        <w:t xml:space="preserve">Настоящата разработка надгражда върху тази съвкупност от изследвания, като предлага интегрирана оценка на ролята на устойчивите практики за повишаване на икономическата и екологичната ефективност на земеделските стопанства по типове и </w:t>
      </w:r>
      <w:r w:rsidRPr="00CB3AFB">
        <w:rPr>
          <w:rFonts w:ascii="Times New Roman" w:hAnsi="Times New Roman"/>
          <w:lang w:val="bg-BG"/>
        </w:rPr>
        <w:lastRenderedPageBreak/>
        <w:t>размер — аналитично измерение, което допълва вече разработените теоретични и секторни рамки и предоставя емпирична основа за прилагане на изискванията на Зелената сделка в българския аграрен контекст.</w:t>
      </w:r>
      <w:r>
        <w:rPr>
          <w:rFonts w:ascii="Times New Roman" w:hAnsi="Times New Roman"/>
          <w:lang w:val="bg-BG"/>
        </w:rPr>
        <w:t xml:space="preserve"> </w:t>
      </w:r>
    </w:p>
    <w:p w14:paraId="21AF4446" w14:textId="77777777" w:rsidR="00662760" w:rsidRDefault="00662760" w:rsidP="00662760">
      <w:pPr>
        <w:spacing w:line="360" w:lineRule="auto"/>
        <w:jc w:val="both"/>
        <w:rPr>
          <w:rFonts w:ascii="Times New Roman" w:hAnsi="Times New Roman" w:cs="Times New Roman"/>
          <w:b/>
          <w:bCs/>
          <w:lang w:val="bg-BG"/>
        </w:rPr>
      </w:pPr>
      <w:r w:rsidRPr="00CB784E">
        <w:rPr>
          <w:rFonts w:ascii="Times New Roman" w:hAnsi="Times New Roman" w:cs="Times New Roman"/>
          <w:b/>
          <w:bCs/>
          <w:lang w:val="bg-BG"/>
        </w:rPr>
        <w:t>Цел и задачи на изследването</w:t>
      </w:r>
    </w:p>
    <w:p w14:paraId="669C9FE7" w14:textId="79F5D498" w:rsidR="00662760" w:rsidRPr="00662760" w:rsidRDefault="00662760" w:rsidP="00662760">
      <w:pPr>
        <w:spacing w:line="360" w:lineRule="auto"/>
        <w:jc w:val="both"/>
        <w:rPr>
          <w:rFonts w:ascii="Times New Roman" w:hAnsi="Times New Roman" w:cs="Times New Roman"/>
          <w:lang w:val="bg-BG"/>
        </w:rPr>
      </w:pPr>
      <w:r w:rsidRPr="007D43B9">
        <w:rPr>
          <w:rFonts w:ascii="Times New Roman" w:hAnsi="Times New Roman" w:cs="Times New Roman"/>
          <w:lang w:val="bg-BG"/>
        </w:rPr>
        <w:t>Цел:</w:t>
      </w:r>
      <w:r>
        <w:rPr>
          <w:rFonts w:ascii="Times New Roman" w:hAnsi="Times New Roman" w:cs="Times New Roman"/>
          <w:b/>
          <w:bCs/>
          <w:lang w:val="bg-BG"/>
        </w:rPr>
        <w:t xml:space="preserve"> </w:t>
      </w:r>
      <w:r w:rsidRPr="007D43B9">
        <w:rPr>
          <w:rFonts w:ascii="Times New Roman" w:hAnsi="Times New Roman" w:cs="Times New Roman"/>
          <w:lang w:val="bg-BG"/>
        </w:rPr>
        <w:t>Да се изследва икономическата и екологичната ефективност на земеделските стопанства в България и да се анализира ролята на устойчивите земеделски практики за тяхното повишаване в контекста на Зелената сделка.</w:t>
      </w:r>
    </w:p>
    <w:p w14:paraId="39F30FC5" w14:textId="4E7F48C0" w:rsidR="003C796C" w:rsidRPr="00CB784E" w:rsidRDefault="003C796C" w:rsidP="003C796C">
      <w:pPr>
        <w:spacing w:line="360" w:lineRule="auto"/>
        <w:jc w:val="both"/>
        <w:rPr>
          <w:rFonts w:ascii="Times New Roman" w:hAnsi="Times New Roman" w:cs="Times New Roman"/>
          <w:b/>
          <w:bCs/>
          <w:lang w:val="bg-BG"/>
        </w:rPr>
      </w:pPr>
      <w:r w:rsidRPr="00CB784E">
        <w:rPr>
          <w:rFonts w:ascii="Times New Roman" w:hAnsi="Times New Roman" w:cs="Times New Roman"/>
          <w:b/>
          <w:bCs/>
          <w:lang w:val="bg-BG"/>
        </w:rPr>
        <w:t>Обект и предмет на изследването</w:t>
      </w:r>
    </w:p>
    <w:p w14:paraId="40BB0969" w14:textId="1D5CCBC2" w:rsidR="00CB784E" w:rsidRDefault="003C796C" w:rsidP="00CB784E">
      <w:pPr>
        <w:spacing w:line="360" w:lineRule="auto"/>
        <w:ind w:firstLine="720"/>
        <w:jc w:val="both"/>
        <w:rPr>
          <w:rFonts w:ascii="Times New Roman" w:hAnsi="Times New Roman" w:cs="Times New Roman"/>
          <w:lang w:val="bg-BG"/>
        </w:rPr>
      </w:pPr>
      <w:r w:rsidRPr="003C796C">
        <w:rPr>
          <w:rFonts w:ascii="Times New Roman" w:hAnsi="Times New Roman" w:cs="Times New Roman"/>
          <w:lang w:val="bg-BG"/>
        </w:rPr>
        <w:t>Обект на изследването са земеделските стопанства в България</w:t>
      </w:r>
      <w:r w:rsidR="00CB784E">
        <w:rPr>
          <w:rFonts w:ascii="Times New Roman" w:hAnsi="Times New Roman" w:cs="Times New Roman"/>
          <w:lang w:val="bg-BG"/>
        </w:rPr>
        <w:t>,</w:t>
      </w:r>
      <w:r w:rsidRPr="003C796C">
        <w:rPr>
          <w:rFonts w:ascii="Times New Roman" w:hAnsi="Times New Roman" w:cs="Times New Roman"/>
          <w:lang w:val="bg-BG"/>
        </w:rPr>
        <w:t xml:space="preserve"> анализирани диференцирано по: икономически размер, специализация и</w:t>
      </w:r>
      <w:r w:rsidR="00CB784E">
        <w:rPr>
          <w:rFonts w:ascii="Times New Roman" w:hAnsi="Times New Roman" w:cs="Times New Roman"/>
          <w:lang w:val="bg-BG"/>
        </w:rPr>
        <w:t xml:space="preserve"> </w:t>
      </w:r>
      <w:r w:rsidRPr="003C796C">
        <w:rPr>
          <w:rFonts w:ascii="Times New Roman" w:hAnsi="Times New Roman" w:cs="Times New Roman"/>
          <w:lang w:val="bg-BG"/>
        </w:rPr>
        <w:t>производствен модел.</w:t>
      </w:r>
      <w:r w:rsidR="00CB784E">
        <w:rPr>
          <w:rFonts w:ascii="Times New Roman" w:hAnsi="Times New Roman" w:cs="Times New Roman"/>
          <w:lang w:val="bg-BG"/>
        </w:rPr>
        <w:t xml:space="preserve"> </w:t>
      </w:r>
    </w:p>
    <w:p w14:paraId="63F26F11" w14:textId="35B6CBF3" w:rsidR="003C796C" w:rsidRPr="003C796C" w:rsidRDefault="003C796C" w:rsidP="00CB784E">
      <w:pPr>
        <w:spacing w:line="360" w:lineRule="auto"/>
        <w:ind w:firstLine="720"/>
        <w:jc w:val="both"/>
        <w:rPr>
          <w:rFonts w:ascii="Times New Roman" w:hAnsi="Times New Roman" w:cs="Times New Roman"/>
          <w:lang w:val="bg-BG"/>
        </w:rPr>
      </w:pPr>
      <w:r w:rsidRPr="003C796C">
        <w:rPr>
          <w:rFonts w:ascii="Times New Roman" w:hAnsi="Times New Roman" w:cs="Times New Roman"/>
          <w:lang w:val="bg-BG"/>
        </w:rPr>
        <w:t>Предмет на изследването е икономическата и екологичната ефективност на стопанствата в контекста на нормативните изисквания на Зелената сделка, както и ефектите от прилагането на различни устойчиви практики (като минимални обработки, покривни култури, прецизно торене и интегрирано управление на вредителите) и възможностите за тяхното масово внедряване в реална производствена среда.</w:t>
      </w:r>
    </w:p>
    <w:p w14:paraId="5C2DF510" w14:textId="287A3FC5" w:rsidR="007D43B9" w:rsidRPr="007D43B9" w:rsidRDefault="007D43B9" w:rsidP="003C796C">
      <w:pPr>
        <w:spacing w:line="360" w:lineRule="auto"/>
        <w:jc w:val="both"/>
        <w:rPr>
          <w:rFonts w:ascii="Times New Roman" w:hAnsi="Times New Roman" w:cs="Times New Roman"/>
          <w:lang w:val="bg-BG"/>
        </w:rPr>
      </w:pPr>
      <w:r w:rsidRPr="007D43B9">
        <w:rPr>
          <w:rFonts w:ascii="Times New Roman" w:hAnsi="Times New Roman" w:cs="Times New Roman"/>
          <w:lang w:val="bg-BG"/>
        </w:rPr>
        <w:t>За постигане на тази цел са формулирани следните изследователски задачи:</w:t>
      </w:r>
    </w:p>
    <w:p w14:paraId="4A6A5DC7" w14:textId="77777777" w:rsidR="00CB784E" w:rsidRDefault="00CB784E" w:rsidP="00CB784E">
      <w:pPr>
        <w:pStyle w:val="ListParagraph"/>
        <w:numPr>
          <w:ilvl w:val="0"/>
          <w:numId w:val="2"/>
        </w:numPr>
        <w:spacing w:line="360" w:lineRule="auto"/>
        <w:jc w:val="both"/>
        <w:rPr>
          <w:rFonts w:ascii="Times New Roman" w:hAnsi="Times New Roman" w:cs="Times New Roman"/>
          <w:lang w:val="bg-BG"/>
        </w:rPr>
      </w:pPr>
      <w:r w:rsidRPr="00CB784E">
        <w:rPr>
          <w:rFonts w:ascii="Times New Roman" w:hAnsi="Times New Roman" w:cs="Times New Roman"/>
          <w:lang w:val="bg-BG"/>
        </w:rPr>
        <w:t>Да се изследват теоретичните основи на икономическата и екологичната ефективност на земеделските стопанства</w:t>
      </w:r>
    </w:p>
    <w:p w14:paraId="093892B8" w14:textId="77777777" w:rsidR="00CB784E" w:rsidRDefault="00CB784E" w:rsidP="00CB784E">
      <w:pPr>
        <w:pStyle w:val="ListParagraph"/>
        <w:numPr>
          <w:ilvl w:val="0"/>
          <w:numId w:val="2"/>
        </w:numPr>
        <w:spacing w:line="360" w:lineRule="auto"/>
        <w:jc w:val="both"/>
        <w:rPr>
          <w:rFonts w:ascii="Times New Roman" w:hAnsi="Times New Roman" w:cs="Times New Roman"/>
          <w:lang w:val="bg-BG"/>
        </w:rPr>
      </w:pPr>
      <w:r w:rsidRPr="00CB784E">
        <w:rPr>
          <w:rFonts w:ascii="Times New Roman" w:hAnsi="Times New Roman" w:cs="Times New Roman"/>
          <w:lang w:val="bg-BG"/>
        </w:rPr>
        <w:t>Да се разработи методологичен инструментариум за оценка на икономическата и екологичната ефективност на българските земеделски стопанства в условията на Зелената сделка;</w:t>
      </w:r>
    </w:p>
    <w:p w14:paraId="7D510DAA" w14:textId="77777777" w:rsidR="00CB784E" w:rsidRDefault="00CB784E" w:rsidP="00CB784E">
      <w:pPr>
        <w:pStyle w:val="ListParagraph"/>
        <w:numPr>
          <w:ilvl w:val="0"/>
          <w:numId w:val="2"/>
        </w:numPr>
        <w:spacing w:line="360" w:lineRule="auto"/>
        <w:jc w:val="both"/>
        <w:rPr>
          <w:rFonts w:ascii="Times New Roman" w:hAnsi="Times New Roman" w:cs="Times New Roman"/>
          <w:lang w:val="bg-BG"/>
        </w:rPr>
      </w:pPr>
      <w:r w:rsidRPr="00CB784E">
        <w:rPr>
          <w:rFonts w:ascii="Times New Roman" w:hAnsi="Times New Roman" w:cs="Times New Roman"/>
          <w:lang w:val="bg-BG"/>
        </w:rPr>
        <w:t>Да се оцени икономическата и екологична ефективност на различните по типология и размер земеделски стопанство в България;</w:t>
      </w:r>
    </w:p>
    <w:p w14:paraId="7A739D51" w14:textId="77777777" w:rsidR="00CB784E" w:rsidRDefault="00CB784E" w:rsidP="00CB784E">
      <w:pPr>
        <w:pStyle w:val="ListParagraph"/>
        <w:numPr>
          <w:ilvl w:val="0"/>
          <w:numId w:val="2"/>
        </w:numPr>
        <w:spacing w:line="360" w:lineRule="auto"/>
        <w:jc w:val="both"/>
        <w:rPr>
          <w:rFonts w:ascii="Times New Roman" w:hAnsi="Times New Roman" w:cs="Times New Roman"/>
          <w:lang w:val="bg-BG"/>
        </w:rPr>
      </w:pPr>
      <w:r w:rsidRPr="00CB784E">
        <w:rPr>
          <w:rFonts w:ascii="Times New Roman" w:hAnsi="Times New Roman" w:cs="Times New Roman"/>
          <w:lang w:val="bg-BG"/>
        </w:rPr>
        <w:t>Да се идентифицират и анализират факторите, влияещи върху възприемането и прилагането на устойчиви практики от страна на българските земеделски стопани</w:t>
      </w:r>
    </w:p>
    <w:p w14:paraId="58731E8D" w14:textId="77777777" w:rsidR="00CB784E" w:rsidRDefault="00CB784E" w:rsidP="00CB784E">
      <w:pPr>
        <w:pStyle w:val="ListParagraph"/>
        <w:numPr>
          <w:ilvl w:val="0"/>
          <w:numId w:val="2"/>
        </w:numPr>
        <w:spacing w:line="360" w:lineRule="auto"/>
        <w:jc w:val="both"/>
        <w:rPr>
          <w:rFonts w:ascii="Times New Roman" w:hAnsi="Times New Roman" w:cs="Times New Roman"/>
          <w:lang w:val="bg-BG"/>
        </w:rPr>
      </w:pPr>
      <w:r w:rsidRPr="00CB784E">
        <w:rPr>
          <w:rFonts w:ascii="Times New Roman" w:hAnsi="Times New Roman" w:cs="Times New Roman"/>
          <w:lang w:val="bg-BG"/>
        </w:rPr>
        <w:t>Да се анализират нагласите на земеделски стопаните към въздействието на Зелената сделка чрез анкетно проучване и фокус групи;</w:t>
      </w:r>
    </w:p>
    <w:p w14:paraId="5926E109" w14:textId="77777777" w:rsidR="00CB784E" w:rsidRDefault="00CB784E" w:rsidP="00CB784E">
      <w:pPr>
        <w:pStyle w:val="ListParagraph"/>
        <w:numPr>
          <w:ilvl w:val="0"/>
          <w:numId w:val="2"/>
        </w:numPr>
        <w:spacing w:line="360" w:lineRule="auto"/>
        <w:jc w:val="both"/>
        <w:rPr>
          <w:rFonts w:ascii="Times New Roman" w:hAnsi="Times New Roman" w:cs="Times New Roman"/>
          <w:lang w:val="bg-BG"/>
        </w:rPr>
      </w:pPr>
      <w:r w:rsidRPr="00CB784E">
        <w:rPr>
          <w:rFonts w:ascii="Times New Roman" w:hAnsi="Times New Roman" w:cs="Times New Roman"/>
          <w:lang w:val="bg-BG"/>
        </w:rPr>
        <w:lastRenderedPageBreak/>
        <w:t>Да се проучи икономическата и екологичната eфективност на производствени модели в различни по мащаб и специализация стопанства чрез казусен анализ;</w:t>
      </w:r>
    </w:p>
    <w:p w14:paraId="566BFB37" w14:textId="77777777" w:rsidR="00CB784E" w:rsidRDefault="00CB784E" w:rsidP="00CB784E">
      <w:pPr>
        <w:pStyle w:val="ListParagraph"/>
        <w:numPr>
          <w:ilvl w:val="0"/>
          <w:numId w:val="2"/>
        </w:numPr>
        <w:spacing w:line="360" w:lineRule="auto"/>
        <w:jc w:val="both"/>
        <w:rPr>
          <w:rFonts w:ascii="Times New Roman" w:hAnsi="Times New Roman" w:cs="Times New Roman"/>
          <w:lang w:val="bg-BG"/>
        </w:rPr>
      </w:pPr>
      <w:r w:rsidRPr="00CB784E">
        <w:rPr>
          <w:rFonts w:ascii="Times New Roman" w:hAnsi="Times New Roman" w:cs="Times New Roman"/>
          <w:lang w:val="bg-BG"/>
        </w:rPr>
        <w:t>Да се разработи и приложи модел за измерване сравнителните предимства на отделните апробирани устойчиви практики при обвързване с параметрите на Зелената сделка и разкриване ефектите върху структурната консолидация;</w:t>
      </w:r>
    </w:p>
    <w:p w14:paraId="5F6F82E0" w14:textId="1125E727" w:rsidR="007D43B9" w:rsidRPr="00006481" w:rsidRDefault="00CB784E" w:rsidP="003C796C">
      <w:pPr>
        <w:pStyle w:val="ListParagraph"/>
        <w:numPr>
          <w:ilvl w:val="0"/>
          <w:numId w:val="2"/>
        </w:numPr>
        <w:spacing w:line="360" w:lineRule="auto"/>
        <w:jc w:val="both"/>
        <w:rPr>
          <w:rFonts w:ascii="Times New Roman" w:hAnsi="Times New Roman" w:cs="Times New Roman"/>
          <w:lang w:val="bg-BG"/>
        </w:rPr>
      </w:pPr>
      <w:r w:rsidRPr="00CB784E">
        <w:rPr>
          <w:rFonts w:ascii="Times New Roman" w:hAnsi="Times New Roman" w:cs="Times New Roman"/>
          <w:lang w:val="bg-BG"/>
        </w:rPr>
        <w:t>Да се формулират насоки за повишаване на икономическата и екологичната ефективност на земеделските стопанства, съобразени със хетерогенността на сектора по отношение на размер, специализация и производствен модел</w:t>
      </w:r>
    </w:p>
    <w:p w14:paraId="183FD8D2" w14:textId="7958D1A4" w:rsidR="003C796C" w:rsidRDefault="00CB784E" w:rsidP="003C796C">
      <w:pPr>
        <w:spacing w:line="360" w:lineRule="auto"/>
        <w:jc w:val="both"/>
        <w:rPr>
          <w:rFonts w:ascii="Times New Roman" w:hAnsi="Times New Roman" w:cs="Times New Roman"/>
          <w:b/>
          <w:bCs/>
          <w:lang w:val="bg-BG"/>
        </w:rPr>
      </w:pPr>
      <w:r w:rsidRPr="00CB784E">
        <w:rPr>
          <w:rFonts w:ascii="Times New Roman" w:hAnsi="Times New Roman" w:cs="Times New Roman"/>
          <w:b/>
          <w:bCs/>
          <w:lang w:val="bg-BG"/>
        </w:rPr>
        <w:t>Т</w:t>
      </w:r>
      <w:r w:rsidR="003C796C" w:rsidRPr="00CB784E">
        <w:rPr>
          <w:rFonts w:ascii="Times New Roman" w:hAnsi="Times New Roman" w:cs="Times New Roman"/>
          <w:b/>
          <w:bCs/>
          <w:lang w:val="bg-BG"/>
        </w:rPr>
        <w:t>еза и работни хипотези</w:t>
      </w:r>
    </w:p>
    <w:p w14:paraId="544FAEC6" w14:textId="2362C6B7" w:rsidR="007D43B9" w:rsidRPr="007D43B9" w:rsidRDefault="007D43B9" w:rsidP="007D43B9">
      <w:pPr>
        <w:spacing w:line="360" w:lineRule="auto"/>
        <w:ind w:firstLine="720"/>
        <w:jc w:val="both"/>
        <w:rPr>
          <w:rFonts w:ascii="Times New Roman" w:hAnsi="Times New Roman" w:cs="Times New Roman"/>
          <w:lang w:val="bg-BG"/>
        </w:rPr>
      </w:pPr>
      <w:r>
        <w:rPr>
          <w:rFonts w:ascii="Times New Roman" w:hAnsi="Times New Roman" w:cs="Times New Roman"/>
          <w:lang w:val="bg-BG"/>
        </w:rPr>
        <w:t xml:space="preserve">Дисертационното изследване защитава </w:t>
      </w:r>
      <w:r w:rsidRPr="00006481">
        <w:rPr>
          <w:rFonts w:ascii="Times New Roman" w:hAnsi="Times New Roman" w:cs="Times New Roman"/>
          <w:b/>
          <w:bCs/>
          <w:lang w:val="bg-BG"/>
        </w:rPr>
        <w:t>тезата</w:t>
      </w:r>
      <w:r>
        <w:rPr>
          <w:rFonts w:ascii="Times New Roman" w:hAnsi="Times New Roman" w:cs="Times New Roman"/>
          <w:lang w:val="bg-BG"/>
        </w:rPr>
        <w:t xml:space="preserve">, че  </w:t>
      </w:r>
      <w:r w:rsidRPr="007D43B9">
        <w:rPr>
          <w:rFonts w:ascii="Times New Roman" w:hAnsi="Times New Roman" w:cs="Times New Roman"/>
          <w:lang w:val="bg-BG"/>
        </w:rPr>
        <w:t>Зелената сделка открива възможности за повишаване на икономическата и екологична ефективност на българските земеделски стопанства чрез насърчаване на устойчиви практики.</w:t>
      </w:r>
    </w:p>
    <w:p w14:paraId="6B61562A" w14:textId="77777777" w:rsidR="00CB784E" w:rsidRPr="00CB784E" w:rsidRDefault="00CB784E" w:rsidP="00CB784E">
      <w:pPr>
        <w:spacing w:line="360" w:lineRule="auto"/>
        <w:jc w:val="both"/>
        <w:rPr>
          <w:rFonts w:ascii="Times New Roman" w:hAnsi="Times New Roman" w:cs="Times New Roman"/>
          <w:lang w:val="bg-BG"/>
        </w:rPr>
      </w:pPr>
      <w:r w:rsidRPr="00CB784E">
        <w:rPr>
          <w:rFonts w:ascii="Times New Roman" w:hAnsi="Times New Roman" w:cs="Times New Roman"/>
          <w:b/>
          <w:bCs/>
          <w:lang w:val="bg-BG"/>
        </w:rPr>
        <w:t>Х1:</w:t>
      </w:r>
      <w:r w:rsidRPr="00CB784E">
        <w:rPr>
          <w:rFonts w:ascii="Times New Roman" w:hAnsi="Times New Roman" w:cs="Times New Roman"/>
          <w:lang w:val="bg-BG"/>
        </w:rPr>
        <w:t xml:space="preserve"> Икономическата и екологичната ефективност на земеделските стопанства в България се различава съществено в зависимост от тяхната типология и икономически размер;</w:t>
      </w:r>
    </w:p>
    <w:p w14:paraId="10336A4B" w14:textId="77777777" w:rsidR="00CB784E" w:rsidRPr="00CB784E" w:rsidRDefault="00CB784E" w:rsidP="00CB784E">
      <w:pPr>
        <w:spacing w:line="360" w:lineRule="auto"/>
        <w:jc w:val="both"/>
        <w:rPr>
          <w:rFonts w:ascii="Times New Roman" w:hAnsi="Times New Roman" w:cs="Times New Roman"/>
          <w:lang w:val="bg-BG"/>
        </w:rPr>
      </w:pPr>
      <w:r w:rsidRPr="00CB784E">
        <w:rPr>
          <w:rFonts w:ascii="Times New Roman" w:hAnsi="Times New Roman" w:cs="Times New Roman"/>
          <w:b/>
          <w:bCs/>
          <w:lang w:val="bg-BG"/>
        </w:rPr>
        <w:t>Х2:</w:t>
      </w:r>
      <w:r w:rsidRPr="00CB784E">
        <w:rPr>
          <w:rFonts w:ascii="Times New Roman" w:hAnsi="Times New Roman" w:cs="Times New Roman"/>
          <w:lang w:val="bg-BG"/>
        </w:rPr>
        <w:t xml:space="preserve"> Прилагането на специфични устойчиви практики, изследвани в настоящата разработка, може съществено да повиши едновременно екологичната и икономическата ефективност на стопанствата;</w:t>
      </w:r>
    </w:p>
    <w:p w14:paraId="1F817B6A" w14:textId="77777777" w:rsidR="00CB784E" w:rsidRPr="00CB784E" w:rsidRDefault="00CB784E" w:rsidP="00CB784E">
      <w:pPr>
        <w:spacing w:line="360" w:lineRule="auto"/>
        <w:jc w:val="both"/>
        <w:rPr>
          <w:rFonts w:ascii="Times New Roman" w:hAnsi="Times New Roman" w:cs="Times New Roman"/>
          <w:lang w:val="bg-BG"/>
        </w:rPr>
      </w:pPr>
      <w:r w:rsidRPr="00CB784E">
        <w:rPr>
          <w:rFonts w:ascii="Times New Roman" w:hAnsi="Times New Roman" w:cs="Times New Roman"/>
          <w:b/>
          <w:bCs/>
          <w:lang w:val="bg-BG"/>
        </w:rPr>
        <w:t>Х3:</w:t>
      </w:r>
      <w:r w:rsidRPr="00CB784E">
        <w:rPr>
          <w:rFonts w:ascii="Times New Roman" w:hAnsi="Times New Roman" w:cs="Times New Roman"/>
          <w:lang w:val="bg-BG"/>
        </w:rPr>
        <w:t xml:space="preserve"> Зелената сделка ще доведе до редуциране използването на химически торове, което ще се отрази на по-висока Относителната сравнителна оценка (ОСО) в бъдещите сценарий;</w:t>
      </w:r>
    </w:p>
    <w:p w14:paraId="28A6A0B6" w14:textId="456865E1" w:rsidR="003C796C" w:rsidRPr="003C796C" w:rsidRDefault="00CB784E" w:rsidP="00CB784E">
      <w:pPr>
        <w:spacing w:line="360" w:lineRule="auto"/>
        <w:jc w:val="both"/>
        <w:rPr>
          <w:rFonts w:ascii="Times New Roman" w:hAnsi="Times New Roman" w:cs="Times New Roman"/>
          <w:lang w:val="bg-BG"/>
        </w:rPr>
      </w:pPr>
      <w:r w:rsidRPr="00CB784E">
        <w:rPr>
          <w:rFonts w:ascii="Times New Roman" w:hAnsi="Times New Roman" w:cs="Times New Roman"/>
          <w:b/>
          <w:bCs/>
          <w:lang w:val="bg-BG"/>
        </w:rPr>
        <w:t>Х4:</w:t>
      </w:r>
      <w:r w:rsidRPr="00CB784E">
        <w:rPr>
          <w:rFonts w:ascii="Times New Roman" w:hAnsi="Times New Roman" w:cs="Times New Roman"/>
          <w:lang w:val="bg-BG"/>
        </w:rPr>
        <w:t xml:space="preserve"> Прилагането на апробираните устойчиви практки в степен на постигане съответствие с параметрите на Зелената сделка би довело до по-голяма икономическа и екологична ефективност, която надминава очакваното по-голямо съкращаване в броя на стопанствата.</w:t>
      </w:r>
    </w:p>
    <w:p w14:paraId="1964D0C1" w14:textId="1FC0E576" w:rsidR="003C796C" w:rsidRPr="003C796C" w:rsidRDefault="003C796C" w:rsidP="003C796C">
      <w:pPr>
        <w:spacing w:line="360" w:lineRule="auto"/>
        <w:jc w:val="both"/>
        <w:rPr>
          <w:rFonts w:ascii="Times New Roman" w:hAnsi="Times New Roman" w:cs="Times New Roman"/>
          <w:lang w:val="bg-BG"/>
        </w:rPr>
      </w:pPr>
      <w:r w:rsidRPr="00CB784E">
        <w:rPr>
          <w:rFonts w:ascii="Times New Roman" w:hAnsi="Times New Roman" w:cs="Times New Roman"/>
          <w:b/>
          <w:bCs/>
          <w:lang w:val="bg-BG"/>
        </w:rPr>
        <w:t>Ограниченията на изследването</w:t>
      </w:r>
      <w:r w:rsidRPr="003C796C">
        <w:rPr>
          <w:rFonts w:ascii="Times New Roman" w:hAnsi="Times New Roman" w:cs="Times New Roman"/>
          <w:lang w:val="bg-BG"/>
        </w:rPr>
        <w:t>: част от резултатите стъпват на първични данни с относително къс времеви период; екологичната ефективност е оценена чрез FADN прокси показатели; а иконометричното моделиране работи с лимитиран брой фактори за бъдещите сценарии.</w:t>
      </w:r>
    </w:p>
    <w:p w14:paraId="4BA928EC" w14:textId="21F8B9A0" w:rsidR="003C796C" w:rsidRPr="00710414" w:rsidRDefault="003C796C" w:rsidP="003C796C">
      <w:pPr>
        <w:spacing w:line="360" w:lineRule="auto"/>
        <w:jc w:val="both"/>
        <w:rPr>
          <w:rFonts w:ascii="Times New Roman" w:hAnsi="Times New Roman" w:cs="Times New Roman"/>
          <w:b/>
          <w:bCs/>
          <w:lang w:val="bg-BG"/>
        </w:rPr>
      </w:pPr>
      <w:r w:rsidRPr="00710414">
        <w:rPr>
          <w:rFonts w:ascii="Times New Roman" w:hAnsi="Times New Roman" w:cs="Times New Roman"/>
          <w:b/>
          <w:bCs/>
          <w:lang w:val="bg-BG"/>
        </w:rPr>
        <w:t>Структура на дисертационния труд</w:t>
      </w:r>
    </w:p>
    <w:p w14:paraId="1D22DEC0" w14:textId="00A59D84" w:rsidR="00B52DB6" w:rsidRPr="00006481" w:rsidRDefault="003C796C" w:rsidP="00006481">
      <w:pPr>
        <w:spacing w:line="360" w:lineRule="auto"/>
        <w:ind w:firstLine="720"/>
        <w:jc w:val="both"/>
        <w:rPr>
          <w:rFonts w:ascii="Times New Roman" w:hAnsi="Times New Roman" w:cs="Times New Roman"/>
          <w:lang w:val="bg-BG"/>
        </w:rPr>
      </w:pPr>
      <w:r w:rsidRPr="003C796C">
        <w:rPr>
          <w:rFonts w:ascii="Times New Roman" w:hAnsi="Times New Roman" w:cs="Times New Roman"/>
          <w:lang w:val="bg-BG"/>
        </w:rPr>
        <w:lastRenderedPageBreak/>
        <w:t>Дисертационният труд е структуриран в увод, четири глави, заключение, списък на използваната литература и приложения. Всяка от главите следва</w:t>
      </w:r>
      <w:r w:rsidR="006875ED">
        <w:rPr>
          <w:rFonts w:ascii="Times New Roman" w:hAnsi="Times New Roman" w:cs="Times New Roman"/>
          <w:lang w:val="bg-BG"/>
        </w:rPr>
        <w:t xml:space="preserve"> </w:t>
      </w:r>
      <w:r w:rsidRPr="003C796C">
        <w:rPr>
          <w:rFonts w:ascii="Times New Roman" w:hAnsi="Times New Roman" w:cs="Times New Roman"/>
          <w:lang w:val="bg-BG"/>
        </w:rPr>
        <w:t>логика</w:t>
      </w:r>
      <w:r w:rsidR="006875ED">
        <w:rPr>
          <w:rFonts w:ascii="Times New Roman" w:hAnsi="Times New Roman" w:cs="Times New Roman"/>
          <w:lang w:val="bg-BG"/>
        </w:rPr>
        <w:t>та</w:t>
      </w:r>
      <w:r w:rsidRPr="003C796C">
        <w:rPr>
          <w:rFonts w:ascii="Times New Roman" w:hAnsi="Times New Roman" w:cs="Times New Roman"/>
          <w:lang w:val="bg-BG"/>
        </w:rPr>
        <w:t xml:space="preserve"> на изследването: от изграждането на теоретико-концептуалната рамка (Глава първа), през дефинирането на методологичния дизайн (Глава втора) и емпиричната проверка на резултатите и нагласите (Глава трета), до прогнозното моделиране и приложните препоръки за адаптация към Зелената сделка (Глава четвърта). Общият обем на труда</w:t>
      </w:r>
      <w:r w:rsidR="006875ED">
        <w:rPr>
          <w:rFonts w:ascii="Times New Roman" w:hAnsi="Times New Roman" w:cs="Times New Roman"/>
          <w:lang w:val="bg-BG"/>
        </w:rPr>
        <w:t xml:space="preserve"> е 411 страници, </w:t>
      </w:r>
      <w:r w:rsidR="006875ED" w:rsidRPr="006875ED">
        <w:rPr>
          <w:rFonts w:ascii="Times New Roman" w:hAnsi="Times New Roman" w:cs="Times New Roman"/>
          <w:lang w:val="bg-BG"/>
        </w:rPr>
        <w:t>в това число</w:t>
      </w:r>
      <w:r w:rsidR="006875ED">
        <w:rPr>
          <w:rFonts w:ascii="Times New Roman" w:hAnsi="Times New Roman" w:cs="Times New Roman"/>
          <w:lang w:val="bg-BG"/>
        </w:rPr>
        <w:t xml:space="preserve"> 545 </w:t>
      </w:r>
      <w:r w:rsidR="006875ED" w:rsidRPr="006875ED">
        <w:rPr>
          <w:rFonts w:ascii="Times New Roman" w:hAnsi="Times New Roman" w:cs="Times New Roman"/>
          <w:lang w:val="bg-BG"/>
        </w:rPr>
        <w:t>източника на информация</w:t>
      </w:r>
      <w:r w:rsidR="006875ED">
        <w:rPr>
          <w:rFonts w:ascii="Times New Roman" w:hAnsi="Times New Roman" w:cs="Times New Roman"/>
          <w:lang w:val="bg-BG"/>
        </w:rPr>
        <w:t>, 19 фигури, 74 таблици и 3 приложения</w:t>
      </w:r>
    </w:p>
    <w:p w14:paraId="4635BD55" w14:textId="291EC972" w:rsidR="00B52DB6" w:rsidRPr="0037603C" w:rsidRDefault="00B52DB6" w:rsidP="0037603C">
      <w:pPr>
        <w:pStyle w:val="Heading1"/>
        <w:rPr>
          <w:rFonts w:ascii="Times New Roman" w:hAnsi="Times New Roman" w:cs="Times New Roman"/>
          <w:b/>
          <w:bCs/>
          <w:color w:val="auto"/>
          <w:sz w:val="28"/>
          <w:szCs w:val="28"/>
          <w:lang w:val="bg-BG"/>
        </w:rPr>
      </w:pPr>
      <w:bookmarkStart w:id="1" w:name="_Toc229092798"/>
      <w:r w:rsidRPr="0037603C">
        <w:rPr>
          <w:rFonts w:ascii="Times New Roman" w:hAnsi="Times New Roman" w:cs="Times New Roman"/>
          <w:b/>
          <w:bCs/>
          <w:color w:val="auto"/>
          <w:sz w:val="28"/>
          <w:szCs w:val="28"/>
          <w:lang w:val="bg-BG"/>
        </w:rPr>
        <w:t>II СИНТЕЗИРАНО ИЗЛОЖЕНИЕ НА ДИСЕРТАЦИОННИЯ ТРУД</w:t>
      </w:r>
      <w:bookmarkEnd w:id="1"/>
    </w:p>
    <w:p w14:paraId="65289A49" w14:textId="1B0815B5" w:rsidR="00B52DB6" w:rsidRPr="0037603C" w:rsidRDefault="00B52DB6" w:rsidP="0037603C">
      <w:pPr>
        <w:pStyle w:val="Heading2"/>
        <w:rPr>
          <w:rFonts w:ascii="Times New Roman" w:hAnsi="Times New Roman" w:cs="Times New Roman"/>
          <w:b/>
          <w:bCs/>
          <w:color w:val="auto"/>
          <w:sz w:val="24"/>
          <w:szCs w:val="24"/>
          <w:lang w:val="bg-BG"/>
        </w:rPr>
      </w:pPr>
      <w:bookmarkStart w:id="2" w:name="_Toc229092799"/>
      <w:r w:rsidRPr="0037603C">
        <w:rPr>
          <w:rFonts w:ascii="Times New Roman" w:hAnsi="Times New Roman" w:cs="Times New Roman"/>
          <w:b/>
          <w:bCs/>
          <w:color w:val="auto"/>
          <w:sz w:val="24"/>
          <w:szCs w:val="24"/>
          <w:lang w:val="bg-BG"/>
        </w:rPr>
        <w:t>ГЛАВА ПЪРВА - ТЕОРЕТИЧНА И КОНЦЕПТУАЛНА РАМКА НА ИКОНОМИЧЕСКАТА И ЕКОЛОГИЧНАТА ЕФЕКТИВНОСТ НА ЗЕМЕДЕЛСКИТЕ СТОПАНСТВА В КОНТЕКСТА НА ЗЕЛЕНАТА СДЕЛКА</w:t>
      </w:r>
      <w:bookmarkEnd w:id="2"/>
    </w:p>
    <w:p w14:paraId="717C1E43" w14:textId="77777777" w:rsidR="005024A1" w:rsidRDefault="002B1E55" w:rsidP="005024A1">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 xml:space="preserve">В първа глава на дисертационния труд се изгражда теоретичната и концептуалната рамка на изследването, посветена на икономическата и екологичната ефективност на земеделските стопанства в условията на Зелената сделка на Европейския съюз. Историческото развитие на земеделието се разглежда като процес на дълбока икономическа трансформация, който променя начина на производство, разпределение и организация на ресурсите в аграрния сектор. Както подчертава </w:t>
      </w:r>
      <w:r w:rsidR="00131622">
        <w:rPr>
          <w:rFonts w:ascii="Times New Roman" w:hAnsi="Times New Roman" w:cs="Times New Roman"/>
          <w:lang w:val="bg-BG"/>
        </w:rPr>
        <w:t>разработката</w:t>
      </w:r>
      <w:r w:rsidRPr="002B1E55">
        <w:rPr>
          <w:rFonts w:ascii="Times New Roman" w:hAnsi="Times New Roman" w:cs="Times New Roman"/>
          <w:lang w:val="bg-BG"/>
        </w:rPr>
        <w:t>, от възникването на първичните форми на производство до формирането на модерни аграрни системи земеделието претърпява значителни промени, обусловени от взаимодействието между технологичния напредък, институционалната еволюция, демографските тенденции и икономическите стимули.</w:t>
      </w:r>
      <w:r w:rsidR="005024A1">
        <w:rPr>
          <w:rFonts w:ascii="Times New Roman" w:hAnsi="Times New Roman" w:cs="Times New Roman"/>
          <w:lang w:val="bg-BG"/>
        </w:rPr>
        <w:t xml:space="preserve"> </w:t>
      </w:r>
    </w:p>
    <w:p w14:paraId="70C1837D" w14:textId="1ABD2E9A" w:rsidR="002B1E55" w:rsidRPr="002B1E55" w:rsidRDefault="002B1E55" w:rsidP="005024A1">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 xml:space="preserve">Класическата икономическа школа свързва цената на земята с поземлената рента и поставя началото на анализа на ролята на земята в производствения процес. Адам Смит в „Богатството на народите“ (1776) разглежда селското стопанство като основен източник на богатство, докато Дейвид Рикардо формулира теорията за рентата, произтичаща от неравномерното плодородие и недостига на земята. Карл Маркс възприема много от възгледите на класиците, но разглежда </w:t>
      </w:r>
      <w:r w:rsidR="005024A1">
        <w:rPr>
          <w:rFonts w:ascii="Times New Roman" w:hAnsi="Times New Roman" w:cs="Times New Roman"/>
          <w:lang w:val="bg-BG"/>
        </w:rPr>
        <w:t>рентата</w:t>
      </w:r>
      <w:r w:rsidRPr="002B1E55">
        <w:rPr>
          <w:rFonts w:ascii="Times New Roman" w:hAnsi="Times New Roman" w:cs="Times New Roman"/>
          <w:lang w:val="bg-BG"/>
        </w:rPr>
        <w:t xml:space="preserve"> като „продукт на обществото, а не на </w:t>
      </w:r>
      <w:r w:rsidR="005024A1">
        <w:rPr>
          <w:rFonts w:ascii="Times New Roman" w:hAnsi="Times New Roman" w:cs="Times New Roman"/>
          <w:lang w:val="bg-BG"/>
        </w:rPr>
        <w:t>земята</w:t>
      </w:r>
      <w:r w:rsidRPr="002B1E55">
        <w:rPr>
          <w:rFonts w:ascii="Times New Roman" w:hAnsi="Times New Roman" w:cs="Times New Roman"/>
          <w:lang w:val="bg-BG"/>
        </w:rPr>
        <w:t>“. Йохан Хайнрих фон Тюнен в „Изолираната държава“ (1826) разработва пространствен модел на селскостопанската продукция около централния град.</w:t>
      </w:r>
      <w:r w:rsidR="005024A1">
        <w:rPr>
          <w:rFonts w:ascii="Times New Roman" w:hAnsi="Times New Roman" w:cs="Times New Roman"/>
          <w:lang w:val="bg-BG"/>
        </w:rPr>
        <w:t xml:space="preserve"> </w:t>
      </w:r>
      <w:r w:rsidRPr="002B1E55">
        <w:rPr>
          <w:rFonts w:ascii="Times New Roman" w:hAnsi="Times New Roman" w:cs="Times New Roman"/>
          <w:lang w:val="bg-BG"/>
        </w:rPr>
        <w:t xml:space="preserve">През XX век неокласическата теория подразделя земята на различни категории и акцентира върху </w:t>
      </w:r>
      <w:r w:rsidRPr="002B1E55">
        <w:rPr>
          <w:rFonts w:ascii="Times New Roman" w:hAnsi="Times New Roman" w:cs="Times New Roman"/>
          <w:lang w:val="bg-BG"/>
        </w:rPr>
        <w:lastRenderedPageBreak/>
        <w:t>поземлените и екологичните ресурси. Концепцията за устойчивостта се утвърждава окончателно с Доклада на Брундтланд (1987), който формулира принципа за удовлетворяване на потребностите на настоящите поколения, без да се застрашава способността на бъдещите поколения да удовлетворяват своите. Конференцията</w:t>
      </w:r>
      <w:r w:rsidR="005024A1">
        <w:rPr>
          <w:rFonts w:ascii="Times New Roman" w:hAnsi="Times New Roman" w:cs="Times New Roman"/>
          <w:lang w:val="bg-BG"/>
        </w:rPr>
        <w:t xml:space="preserve"> на ООН</w:t>
      </w:r>
      <w:r w:rsidRPr="002B1E55">
        <w:rPr>
          <w:rFonts w:ascii="Times New Roman" w:hAnsi="Times New Roman" w:cs="Times New Roman"/>
          <w:lang w:val="bg-BG"/>
        </w:rPr>
        <w:t xml:space="preserve"> в Рио (1992) поставя основите на съвременния модел на устойчиво развитие, основан на взаимодействието между икономическото, социалното и екологичното измерение.</w:t>
      </w:r>
    </w:p>
    <w:p w14:paraId="4ADE4C51" w14:textId="440E13EC" w:rsidR="002B1E55" w:rsidRPr="002B1E55" w:rsidRDefault="002B1E55" w:rsidP="005024A1">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В контекста на Европейския съюз устойчивостта в рамките на ОСП преминава през няколко етапа на развитие. Зелената сделка, обявена през 2019 г., представлява дългосрочна рамка за постигане на климатична неутралност до 2050 г. Стратегиите „От фермата до трапезата“ и „Стратегията за биоразнообразието до 2030 г.“ (European Commission, 2019a, 2019b) задават конкретни количествени цели за намаляване на употребата на пестициди и торове, разширяване на биологичното земеделие и опазване на биоразнообразието. Нормативните документи, обуславящи различните направления на Зелената сделка, са систематизирани в следната таблица:</w:t>
      </w:r>
    </w:p>
    <w:p w14:paraId="3A8075D5" w14:textId="77777777" w:rsidR="005024A1" w:rsidRDefault="005024A1" w:rsidP="005024A1">
      <w:pPr>
        <w:spacing w:line="360" w:lineRule="auto"/>
        <w:jc w:val="center"/>
        <w:rPr>
          <w:rFonts w:ascii="Times New Roman" w:hAnsi="Times New Roman"/>
          <w:lang w:val="bg-BG"/>
        </w:rPr>
      </w:pPr>
      <w:bookmarkStart w:id="3" w:name="_Toc228919010"/>
      <w:r w:rsidRPr="00B179EF">
        <w:rPr>
          <w:rFonts w:ascii="Times New Roman" w:hAnsi="Times New Roman"/>
          <w:lang w:val="bg-BG"/>
        </w:rPr>
        <w:t xml:space="preserve">Таблица </w:t>
      </w:r>
      <w:r w:rsidRPr="00B179EF">
        <w:rPr>
          <w:rFonts w:ascii="Times New Roman" w:hAnsi="Times New Roman"/>
          <w:lang w:val="bg-BG"/>
        </w:rPr>
        <w:fldChar w:fldCharType="begin"/>
      </w:r>
      <w:r w:rsidRPr="00B179EF">
        <w:rPr>
          <w:rFonts w:ascii="Times New Roman" w:hAnsi="Times New Roman"/>
          <w:lang w:val="bg-BG"/>
        </w:rPr>
        <w:instrText xml:space="preserve"> SEQ Таблица \* ARABIC </w:instrText>
      </w:r>
      <w:r w:rsidRPr="00B179EF">
        <w:rPr>
          <w:rFonts w:ascii="Times New Roman" w:hAnsi="Times New Roman"/>
          <w:lang w:val="bg-BG"/>
        </w:rPr>
        <w:fldChar w:fldCharType="separate"/>
      </w:r>
      <w:r>
        <w:rPr>
          <w:rFonts w:ascii="Times New Roman" w:hAnsi="Times New Roman"/>
          <w:noProof/>
          <w:lang w:val="bg-BG"/>
        </w:rPr>
        <w:t>1</w:t>
      </w:r>
      <w:r w:rsidRPr="00B179EF">
        <w:rPr>
          <w:rFonts w:ascii="Times New Roman" w:hAnsi="Times New Roman"/>
          <w:lang w:val="bg-BG"/>
        </w:rPr>
        <w:fldChar w:fldCharType="end"/>
      </w:r>
      <w:r w:rsidRPr="00B179EF">
        <w:rPr>
          <w:rFonts w:ascii="Times New Roman" w:hAnsi="Times New Roman"/>
          <w:lang w:val="bg-BG"/>
        </w:rPr>
        <w:t xml:space="preserve"> Нормативни документи обуславящи различните направления на Зелената сделка</w:t>
      </w:r>
      <w:bookmarkEnd w:id="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5024A1" w:rsidRPr="006C3185" w14:paraId="489051C7" w14:textId="77777777" w:rsidTr="00EF63FF">
        <w:trPr>
          <w:jc w:val="center"/>
        </w:trPr>
        <w:tc>
          <w:tcPr>
            <w:tcW w:w="2337" w:type="dxa"/>
          </w:tcPr>
          <w:p w14:paraId="178C0E4B" w14:textId="77777777" w:rsidR="005024A1" w:rsidRPr="006C3185" w:rsidRDefault="005024A1" w:rsidP="00BA1CD0">
            <w:pPr>
              <w:spacing w:line="360" w:lineRule="auto"/>
              <w:jc w:val="center"/>
              <w:rPr>
                <w:rFonts w:ascii="Times New Roman" w:hAnsi="Times New Roman"/>
                <w:b/>
                <w:lang w:val="bg-BG"/>
              </w:rPr>
            </w:pPr>
            <w:r w:rsidRPr="006C3185">
              <w:rPr>
                <w:rFonts w:ascii="Times New Roman" w:hAnsi="Times New Roman"/>
                <w:b/>
                <w:lang w:val="bg-BG"/>
              </w:rPr>
              <w:t>Селско стопанство</w:t>
            </w:r>
          </w:p>
        </w:tc>
        <w:tc>
          <w:tcPr>
            <w:tcW w:w="2337" w:type="dxa"/>
          </w:tcPr>
          <w:p w14:paraId="730D188E" w14:textId="77777777" w:rsidR="005024A1" w:rsidRPr="006C3185" w:rsidRDefault="005024A1" w:rsidP="00BA1CD0">
            <w:pPr>
              <w:spacing w:line="360" w:lineRule="auto"/>
              <w:jc w:val="center"/>
              <w:rPr>
                <w:rFonts w:ascii="Times New Roman" w:hAnsi="Times New Roman"/>
                <w:b/>
                <w:lang w:val="bg-BG"/>
              </w:rPr>
            </w:pPr>
            <w:r w:rsidRPr="006C3185">
              <w:rPr>
                <w:rFonts w:ascii="Times New Roman" w:hAnsi="Times New Roman"/>
                <w:b/>
                <w:lang w:val="bg-BG"/>
              </w:rPr>
              <w:t>Климатична неутралност</w:t>
            </w:r>
          </w:p>
        </w:tc>
        <w:tc>
          <w:tcPr>
            <w:tcW w:w="2338" w:type="dxa"/>
          </w:tcPr>
          <w:p w14:paraId="5873F11A" w14:textId="77777777" w:rsidR="005024A1" w:rsidRPr="006C3185" w:rsidRDefault="005024A1" w:rsidP="00BA1CD0">
            <w:pPr>
              <w:spacing w:line="360" w:lineRule="auto"/>
              <w:jc w:val="center"/>
              <w:rPr>
                <w:rFonts w:ascii="Times New Roman" w:hAnsi="Times New Roman"/>
                <w:b/>
                <w:lang w:val="bg-BG"/>
              </w:rPr>
            </w:pPr>
            <w:r w:rsidRPr="006C3185">
              <w:rPr>
                <w:rFonts w:ascii="Times New Roman" w:hAnsi="Times New Roman"/>
                <w:b/>
                <w:lang w:val="bg-BG"/>
              </w:rPr>
              <w:t>Екология</w:t>
            </w:r>
          </w:p>
        </w:tc>
        <w:tc>
          <w:tcPr>
            <w:tcW w:w="2338" w:type="dxa"/>
          </w:tcPr>
          <w:p w14:paraId="72F5537A" w14:textId="77777777" w:rsidR="005024A1" w:rsidRPr="006C3185" w:rsidRDefault="005024A1" w:rsidP="00BA1CD0">
            <w:pPr>
              <w:spacing w:line="360" w:lineRule="auto"/>
              <w:jc w:val="center"/>
              <w:rPr>
                <w:rFonts w:ascii="Times New Roman" w:hAnsi="Times New Roman"/>
                <w:b/>
                <w:lang w:val="bg-BG"/>
              </w:rPr>
            </w:pPr>
            <w:r w:rsidRPr="006C3185">
              <w:rPr>
                <w:rFonts w:ascii="Times New Roman" w:hAnsi="Times New Roman"/>
                <w:b/>
                <w:lang w:val="bg-BG"/>
              </w:rPr>
              <w:t>Транспорт и индустрия</w:t>
            </w:r>
          </w:p>
        </w:tc>
      </w:tr>
      <w:tr w:rsidR="005024A1" w:rsidRPr="006C3185" w14:paraId="36B988F1" w14:textId="77777777" w:rsidTr="00EF63FF">
        <w:trPr>
          <w:jc w:val="center"/>
        </w:trPr>
        <w:tc>
          <w:tcPr>
            <w:tcW w:w="2337" w:type="dxa"/>
          </w:tcPr>
          <w:p w14:paraId="639E0CD8"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Закон за устойчиви продоволствени системи</w:t>
            </w:r>
          </w:p>
        </w:tc>
        <w:tc>
          <w:tcPr>
            <w:tcW w:w="2337" w:type="dxa"/>
          </w:tcPr>
          <w:p w14:paraId="415F943C"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Закон на ЕС за климата</w:t>
            </w:r>
          </w:p>
        </w:tc>
        <w:tc>
          <w:tcPr>
            <w:tcW w:w="2338" w:type="dxa"/>
          </w:tcPr>
          <w:p w14:paraId="0AC68C81"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Стратегия за биоразнообразие</w:t>
            </w:r>
          </w:p>
        </w:tc>
        <w:tc>
          <w:tcPr>
            <w:tcW w:w="2338" w:type="dxa"/>
          </w:tcPr>
          <w:p w14:paraId="7E08E802"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Нова промишлена стратегия на Европа</w:t>
            </w:r>
          </w:p>
        </w:tc>
      </w:tr>
      <w:tr w:rsidR="005024A1" w:rsidRPr="006C3185" w14:paraId="3F04A3AE" w14:textId="77777777" w:rsidTr="00EF63FF">
        <w:trPr>
          <w:jc w:val="center"/>
        </w:trPr>
        <w:tc>
          <w:tcPr>
            <w:tcW w:w="2337" w:type="dxa"/>
          </w:tcPr>
          <w:p w14:paraId="06C754E7"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Регламент за устойчива употреба на пестициди</w:t>
            </w:r>
          </w:p>
        </w:tc>
        <w:tc>
          <w:tcPr>
            <w:tcW w:w="2337" w:type="dxa"/>
          </w:tcPr>
          <w:p w14:paraId="2810E31B"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Система за търговия с емисии и Механизъм за въглеродна корекция по границите</w:t>
            </w:r>
          </w:p>
        </w:tc>
        <w:tc>
          <w:tcPr>
            <w:tcW w:w="2338" w:type="dxa"/>
          </w:tcPr>
          <w:p w14:paraId="2AE55DB3"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Стратегия на ЕС за горите</w:t>
            </w:r>
          </w:p>
        </w:tc>
        <w:tc>
          <w:tcPr>
            <w:tcW w:w="2338" w:type="dxa"/>
          </w:tcPr>
          <w:p w14:paraId="3C485C2B"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План за действие за кръговата икономика</w:t>
            </w:r>
          </w:p>
        </w:tc>
      </w:tr>
      <w:tr w:rsidR="005024A1" w:rsidRPr="006C3185" w14:paraId="2A3375F3" w14:textId="77777777" w:rsidTr="00EF63FF">
        <w:trPr>
          <w:jc w:val="center"/>
        </w:trPr>
        <w:tc>
          <w:tcPr>
            <w:tcW w:w="2337" w:type="dxa"/>
          </w:tcPr>
          <w:p w14:paraId="30081DAF"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lastRenderedPageBreak/>
              <w:t>План за интегрирано управление на хранителните вещества</w:t>
            </w:r>
          </w:p>
        </w:tc>
        <w:tc>
          <w:tcPr>
            <w:tcW w:w="2337" w:type="dxa"/>
          </w:tcPr>
          <w:p w14:paraId="42678363"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Регламент за разпределяне на усилията</w:t>
            </w:r>
          </w:p>
        </w:tc>
        <w:tc>
          <w:tcPr>
            <w:tcW w:w="2338" w:type="dxa"/>
          </w:tcPr>
          <w:p w14:paraId="18284B61"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Закон за възстановяване на природата</w:t>
            </w:r>
          </w:p>
        </w:tc>
        <w:tc>
          <w:tcPr>
            <w:tcW w:w="2338" w:type="dxa"/>
          </w:tcPr>
          <w:p w14:paraId="5CE0769E"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Стратегия за устойчива и интелигентна мобилност</w:t>
            </w:r>
          </w:p>
        </w:tc>
      </w:tr>
      <w:tr w:rsidR="005024A1" w:rsidRPr="006C3185" w14:paraId="0AD3C2C4" w14:textId="77777777" w:rsidTr="00EF63FF">
        <w:trPr>
          <w:jc w:val="center"/>
        </w:trPr>
        <w:tc>
          <w:tcPr>
            <w:tcW w:w="2337" w:type="dxa"/>
          </w:tcPr>
          <w:p w14:paraId="1340A9FF"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Ревизия на правилата за хуманно отношение към животните</w:t>
            </w:r>
          </w:p>
        </w:tc>
        <w:tc>
          <w:tcPr>
            <w:tcW w:w="2337" w:type="dxa"/>
          </w:tcPr>
          <w:p w14:paraId="32C65063"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Регламент за земеползването, промените в земеползването и горите</w:t>
            </w:r>
          </w:p>
        </w:tc>
        <w:tc>
          <w:tcPr>
            <w:tcW w:w="2338" w:type="dxa"/>
          </w:tcPr>
          <w:p w14:paraId="7D06BB01"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Стратегия на ЕС за почвите за 2030 &amp; Закон за здравето на почвите</w:t>
            </w:r>
          </w:p>
        </w:tc>
        <w:tc>
          <w:tcPr>
            <w:tcW w:w="2338" w:type="dxa"/>
          </w:tcPr>
          <w:p w14:paraId="06411BCA" w14:textId="77777777" w:rsidR="005024A1" w:rsidRPr="006C3185" w:rsidRDefault="005024A1" w:rsidP="00BA1CD0">
            <w:pPr>
              <w:spacing w:line="360" w:lineRule="auto"/>
              <w:jc w:val="center"/>
              <w:rPr>
                <w:rFonts w:ascii="Times New Roman" w:hAnsi="Times New Roman"/>
                <w:lang w:val="bg-BG"/>
              </w:rPr>
            </w:pPr>
          </w:p>
        </w:tc>
      </w:tr>
      <w:tr w:rsidR="005024A1" w:rsidRPr="006C3185" w14:paraId="50D62FEE" w14:textId="77777777" w:rsidTr="00EF63FF">
        <w:trPr>
          <w:jc w:val="center"/>
        </w:trPr>
        <w:tc>
          <w:tcPr>
            <w:tcW w:w="2337" w:type="dxa"/>
          </w:tcPr>
          <w:p w14:paraId="78E39D62"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План за действие за биологично земеделие</w:t>
            </w:r>
          </w:p>
        </w:tc>
        <w:tc>
          <w:tcPr>
            <w:tcW w:w="2337" w:type="dxa"/>
          </w:tcPr>
          <w:p w14:paraId="4F19C40B"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Съобщение на ЕК относно устойчиви въглеродни цикли</w:t>
            </w:r>
          </w:p>
        </w:tc>
        <w:tc>
          <w:tcPr>
            <w:tcW w:w="2338" w:type="dxa"/>
          </w:tcPr>
          <w:p w14:paraId="2A82B52F"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Закон за обезлесяването и Директива за индустриалните емисии</w:t>
            </w:r>
          </w:p>
        </w:tc>
        <w:tc>
          <w:tcPr>
            <w:tcW w:w="2338" w:type="dxa"/>
          </w:tcPr>
          <w:p w14:paraId="736DA815" w14:textId="77777777" w:rsidR="005024A1" w:rsidRPr="006C3185" w:rsidRDefault="005024A1" w:rsidP="00BA1CD0">
            <w:pPr>
              <w:spacing w:line="360" w:lineRule="auto"/>
              <w:jc w:val="center"/>
              <w:rPr>
                <w:rFonts w:ascii="Times New Roman" w:hAnsi="Times New Roman"/>
                <w:lang w:val="bg-BG"/>
              </w:rPr>
            </w:pPr>
          </w:p>
        </w:tc>
      </w:tr>
      <w:tr w:rsidR="005024A1" w:rsidRPr="006C3185" w14:paraId="2AE2F7F2" w14:textId="77777777" w:rsidTr="00EF63FF">
        <w:trPr>
          <w:jc w:val="center"/>
        </w:trPr>
        <w:tc>
          <w:tcPr>
            <w:tcW w:w="2337" w:type="dxa"/>
          </w:tcPr>
          <w:p w14:paraId="43F99281"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Етичен кодекс за отговорно бизнес поведение и маркетинг</w:t>
            </w:r>
          </w:p>
        </w:tc>
        <w:tc>
          <w:tcPr>
            <w:tcW w:w="2337" w:type="dxa"/>
          </w:tcPr>
          <w:p w14:paraId="58763EEC"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Ревизия на Директивата за облагане на енергията</w:t>
            </w:r>
          </w:p>
        </w:tc>
        <w:tc>
          <w:tcPr>
            <w:tcW w:w="2338" w:type="dxa"/>
          </w:tcPr>
          <w:p w14:paraId="4B58B854"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План за действие на ЕС: Към нулево замърсяване на въздуха, водата и почвата</w:t>
            </w:r>
          </w:p>
        </w:tc>
        <w:tc>
          <w:tcPr>
            <w:tcW w:w="2338" w:type="dxa"/>
          </w:tcPr>
          <w:p w14:paraId="25A44B21" w14:textId="77777777" w:rsidR="005024A1" w:rsidRPr="006C3185" w:rsidRDefault="005024A1" w:rsidP="00BA1CD0">
            <w:pPr>
              <w:spacing w:line="360" w:lineRule="auto"/>
              <w:jc w:val="center"/>
              <w:rPr>
                <w:rFonts w:ascii="Times New Roman" w:hAnsi="Times New Roman"/>
                <w:lang w:val="bg-BG"/>
              </w:rPr>
            </w:pPr>
          </w:p>
        </w:tc>
      </w:tr>
      <w:tr w:rsidR="005024A1" w:rsidRPr="006C3185" w14:paraId="3C823007" w14:textId="77777777" w:rsidTr="00EF63FF">
        <w:trPr>
          <w:jc w:val="center"/>
        </w:trPr>
        <w:tc>
          <w:tcPr>
            <w:tcW w:w="2337" w:type="dxa"/>
          </w:tcPr>
          <w:p w14:paraId="604ED947"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Опаковки, етикетиране, пазарни стандарти и ГО</w:t>
            </w:r>
          </w:p>
        </w:tc>
        <w:tc>
          <w:tcPr>
            <w:tcW w:w="2337" w:type="dxa"/>
          </w:tcPr>
          <w:p w14:paraId="4BF254E1"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Социален климатичен фонд и</w:t>
            </w:r>
          </w:p>
          <w:p w14:paraId="2AAF1EA5"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Инвестиционен план за Европейския зелен пакт</w:t>
            </w:r>
          </w:p>
        </w:tc>
        <w:tc>
          <w:tcPr>
            <w:tcW w:w="2338" w:type="dxa"/>
          </w:tcPr>
          <w:p w14:paraId="1B3770CB" w14:textId="77777777" w:rsidR="005024A1" w:rsidRPr="006C3185" w:rsidRDefault="005024A1" w:rsidP="00BA1CD0">
            <w:pPr>
              <w:spacing w:line="360" w:lineRule="auto"/>
              <w:jc w:val="center"/>
              <w:rPr>
                <w:rFonts w:ascii="Times New Roman" w:hAnsi="Times New Roman"/>
                <w:lang w:val="bg-BG"/>
              </w:rPr>
            </w:pPr>
            <w:r w:rsidRPr="006C3185">
              <w:rPr>
                <w:rFonts w:ascii="Times New Roman" w:hAnsi="Times New Roman"/>
                <w:lang w:val="bg-BG"/>
              </w:rPr>
              <w:t>Стратегия на ЕС за устойчивост в областта на химикалите</w:t>
            </w:r>
          </w:p>
        </w:tc>
        <w:tc>
          <w:tcPr>
            <w:tcW w:w="2338" w:type="dxa"/>
          </w:tcPr>
          <w:p w14:paraId="38EECED9" w14:textId="77777777" w:rsidR="005024A1" w:rsidRPr="006C3185" w:rsidRDefault="005024A1" w:rsidP="00BA1CD0">
            <w:pPr>
              <w:spacing w:line="360" w:lineRule="auto"/>
              <w:jc w:val="center"/>
              <w:rPr>
                <w:rFonts w:ascii="Times New Roman" w:hAnsi="Times New Roman"/>
                <w:lang w:val="bg-BG"/>
              </w:rPr>
            </w:pPr>
          </w:p>
        </w:tc>
      </w:tr>
    </w:tbl>
    <w:p w14:paraId="4AF649F7" w14:textId="25B65B65" w:rsidR="005024A1" w:rsidRPr="00B179EF" w:rsidRDefault="005024A1" w:rsidP="005024A1">
      <w:pPr>
        <w:spacing w:line="360" w:lineRule="auto"/>
        <w:jc w:val="center"/>
        <w:rPr>
          <w:rFonts w:ascii="Times New Roman" w:hAnsi="Times New Roman"/>
          <w:lang w:val="bg-BG"/>
        </w:rPr>
      </w:pPr>
      <w:r w:rsidRPr="006C3185">
        <w:rPr>
          <w:rFonts w:ascii="Times New Roman" w:hAnsi="Times New Roman"/>
          <w:lang w:val="bg-BG"/>
        </w:rPr>
        <w:t xml:space="preserve">Източник: адаптирана от </w:t>
      </w:r>
      <w:r w:rsidRPr="00B179EF">
        <w:rPr>
          <w:rFonts w:ascii="Times New Roman" w:hAnsi="Times New Roman"/>
          <w:i/>
          <w:lang w:val="bg-BG"/>
        </w:rPr>
        <w:t xml:space="preserve">Башев Х., Михайлова М., Терзиев Д., Георгиев М., Димова Н., Маринов П., Микова Р., Благоева С. Структура и управление на договорните отношения в </w:t>
      </w:r>
      <w:r w:rsidRPr="00B179EF">
        <w:rPr>
          <w:rFonts w:ascii="Times New Roman" w:hAnsi="Times New Roman"/>
          <w:i/>
          <w:lang w:val="bg-BG"/>
        </w:rPr>
        <w:lastRenderedPageBreak/>
        <w:t>селското стопанство на България. Икономика и управление на селското стопанство. 2024;59(3):3-28.</w:t>
      </w:r>
    </w:p>
    <w:p w14:paraId="3AA29F95" w14:textId="26D07071" w:rsidR="002B1E55" w:rsidRPr="002B1E55" w:rsidRDefault="002B1E55" w:rsidP="00B72E11">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Адаптацията на земеделските стопанства към изискванията на Зелената сделка се разглежда като комплексен процес, който изисква преход от конвенционални към устойчиви производствени модели.</w:t>
      </w:r>
      <w:r w:rsidR="00B72E11">
        <w:rPr>
          <w:rFonts w:ascii="Times New Roman" w:hAnsi="Times New Roman" w:cs="Times New Roman"/>
          <w:lang w:val="bg-BG"/>
        </w:rPr>
        <w:t xml:space="preserve"> В отговор на тази идея, п</w:t>
      </w:r>
      <w:r w:rsidRPr="002B1E55">
        <w:rPr>
          <w:rFonts w:ascii="Times New Roman" w:hAnsi="Times New Roman" w:cs="Times New Roman"/>
          <w:lang w:val="bg-BG"/>
        </w:rPr>
        <w:t>роизводствените и технологичните практики за постигане на устойчивост са систематизирани по три основни направления: управление на почвените ресурси, опазване на биоразнообразието и управление на водните ресурси. Към тях се добавят прецизното земеделие, интегрираното управление на вредителите и използването на инхибирани азотни торове. Сравнителната оценка на устойчивите производствени и технологични практики е представена в следната таблица:</w:t>
      </w:r>
    </w:p>
    <w:p w14:paraId="7B7AC722" w14:textId="77777777" w:rsidR="00B72E11" w:rsidRPr="00622655" w:rsidRDefault="00B72E11" w:rsidP="00B72E11">
      <w:pPr>
        <w:pStyle w:val="Caption"/>
        <w:jc w:val="center"/>
        <w:rPr>
          <w:rFonts w:ascii="Times New Roman" w:hAnsi="Times New Roman" w:cs="Times New Roman"/>
          <w:i w:val="0"/>
          <w:iCs w:val="0"/>
          <w:color w:val="auto"/>
          <w:sz w:val="22"/>
          <w:szCs w:val="22"/>
        </w:rPr>
      </w:pPr>
      <w:bookmarkStart w:id="4" w:name="_Toc228919012"/>
      <w:r w:rsidRPr="00622655">
        <w:rPr>
          <w:rFonts w:ascii="Times New Roman" w:hAnsi="Times New Roman" w:cs="Times New Roman"/>
          <w:i w:val="0"/>
          <w:iCs w:val="0"/>
          <w:color w:val="auto"/>
          <w:sz w:val="22"/>
          <w:szCs w:val="22"/>
        </w:rPr>
        <w:t xml:space="preserve">Таблица </w:t>
      </w:r>
      <w:r w:rsidRPr="00622655">
        <w:rPr>
          <w:rFonts w:ascii="Times New Roman" w:hAnsi="Times New Roman" w:cs="Times New Roman"/>
          <w:i w:val="0"/>
          <w:iCs w:val="0"/>
          <w:color w:val="auto"/>
          <w:sz w:val="22"/>
          <w:szCs w:val="22"/>
        </w:rPr>
        <w:fldChar w:fldCharType="begin"/>
      </w:r>
      <w:r w:rsidRPr="00622655">
        <w:rPr>
          <w:rFonts w:ascii="Times New Roman" w:hAnsi="Times New Roman" w:cs="Times New Roman"/>
          <w:i w:val="0"/>
          <w:iCs w:val="0"/>
          <w:color w:val="auto"/>
          <w:sz w:val="22"/>
          <w:szCs w:val="22"/>
        </w:rPr>
        <w:instrText xml:space="preserve"> SEQ Таблица \* ARABIC </w:instrText>
      </w:r>
      <w:r w:rsidRPr="00622655">
        <w:rPr>
          <w:rFonts w:ascii="Times New Roman" w:hAnsi="Times New Roman" w:cs="Times New Roman"/>
          <w:i w:val="0"/>
          <w:iCs w:val="0"/>
          <w:color w:val="auto"/>
          <w:sz w:val="22"/>
          <w:szCs w:val="22"/>
        </w:rPr>
        <w:fldChar w:fldCharType="separate"/>
      </w:r>
      <w:r w:rsidRPr="00622655">
        <w:rPr>
          <w:rFonts w:ascii="Times New Roman" w:hAnsi="Times New Roman" w:cs="Times New Roman"/>
          <w:i w:val="0"/>
          <w:iCs w:val="0"/>
          <w:noProof/>
          <w:color w:val="auto"/>
          <w:sz w:val="22"/>
          <w:szCs w:val="22"/>
        </w:rPr>
        <w:t>3</w:t>
      </w:r>
      <w:r w:rsidRPr="00622655">
        <w:rPr>
          <w:rFonts w:ascii="Times New Roman" w:hAnsi="Times New Roman" w:cs="Times New Roman"/>
          <w:i w:val="0"/>
          <w:iCs w:val="0"/>
          <w:color w:val="auto"/>
          <w:sz w:val="22"/>
          <w:szCs w:val="22"/>
        </w:rPr>
        <w:fldChar w:fldCharType="end"/>
      </w:r>
      <w:r w:rsidRPr="00622655">
        <w:rPr>
          <w:rFonts w:ascii="Times New Roman" w:hAnsi="Times New Roman" w:cs="Times New Roman"/>
          <w:i w:val="0"/>
          <w:iCs w:val="0"/>
          <w:color w:val="auto"/>
          <w:sz w:val="22"/>
          <w:szCs w:val="22"/>
          <w:lang w:val="bg-BG"/>
        </w:rPr>
        <w:t xml:space="preserve"> Сравнителна оценка на устойчивите производствени и технологични практики</w:t>
      </w:r>
      <w:bookmarkEnd w:id="4"/>
    </w:p>
    <w:tbl>
      <w:tblPr>
        <w:tblW w:w="9613" w:type="dxa"/>
        <w:tblLook w:val="04A0" w:firstRow="1" w:lastRow="0" w:firstColumn="1" w:lastColumn="0" w:noHBand="0" w:noVBand="1"/>
      </w:tblPr>
      <w:tblGrid>
        <w:gridCol w:w="1551"/>
        <w:gridCol w:w="2125"/>
        <w:gridCol w:w="2046"/>
        <w:gridCol w:w="1928"/>
        <w:gridCol w:w="2705"/>
      </w:tblGrid>
      <w:tr w:rsidR="00B72E11" w:rsidRPr="00622655" w14:paraId="11E0D0B3" w14:textId="77777777" w:rsidTr="00BA1CD0">
        <w:trPr>
          <w:trHeight w:val="552"/>
        </w:trPr>
        <w:tc>
          <w:tcPr>
            <w:tcW w:w="1440" w:type="dxa"/>
            <w:tcBorders>
              <w:top w:val="single" w:sz="4" w:space="0" w:color="auto"/>
              <w:left w:val="single" w:sz="4" w:space="0" w:color="auto"/>
              <w:bottom w:val="single" w:sz="4" w:space="0" w:color="auto"/>
              <w:right w:val="single" w:sz="4" w:space="0" w:color="auto"/>
            </w:tcBorders>
            <w:vAlign w:val="center"/>
            <w:hideMark/>
          </w:tcPr>
          <w:p w14:paraId="303651A6"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Устойчива практика</w:t>
            </w:r>
          </w:p>
        </w:tc>
        <w:tc>
          <w:tcPr>
            <w:tcW w:w="1967" w:type="dxa"/>
            <w:tcBorders>
              <w:top w:val="single" w:sz="4" w:space="0" w:color="auto"/>
              <w:left w:val="nil"/>
              <w:bottom w:val="single" w:sz="4" w:space="0" w:color="auto"/>
              <w:right w:val="single" w:sz="4" w:space="0" w:color="auto"/>
            </w:tcBorders>
            <w:vAlign w:val="center"/>
            <w:hideMark/>
          </w:tcPr>
          <w:p w14:paraId="2EE70F2B"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Икономически ефект</w:t>
            </w:r>
          </w:p>
        </w:tc>
        <w:tc>
          <w:tcPr>
            <w:tcW w:w="1896" w:type="dxa"/>
            <w:tcBorders>
              <w:top w:val="single" w:sz="4" w:space="0" w:color="auto"/>
              <w:left w:val="nil"/>
              <w:bottom w:val="single" w:sz="4" w:space="0" w:color="auto"/>
              <w:right w:val="single" w:sz="4" w:space="0" w:color="auto"/>
            </w:tcBorders>
            <w:vAlign w:val="center"/>
            <w:hideMark/>
          </w:tcPr>
          <w:p w14:paraId="713DB17F" w14:textId="4AE59E3C"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Екологиче</w:t>
            </w:r>
            <w:r w:rsidR="00EF63FF">
              <w:rPr>
                <w:rFonts w:ascii="Times New Roman" w:eastAsia="Times New Roman" w:hAnsi="Times New Roman" w:cs="Times New Roman"/>
                <w:color w:val="000000"/>
                <w:lang w:val="bg-BG"/>
              </w:rPr>
              <w:t xml:space="preserve">н </w:t>
            </w:r>
            <w:r w:rsidRPr="00622655">
              <w:rPr>
                <w:rFonts w:ascii="Times New Roman" w:eastAsia="Times New Roman" w:hAnsi="Times New Roman" w:cs="Times New Roman"/>
                <w:color w:val="000000"/>
              </w:rPr>
              <w:t>ефект</w:t>
            </w:r>
          </w:p>
        </w:tc>
        <w:tc>
          <w:tcPr>
            <w:tcW w:w="1792" w:type="dxa"/>
            <w:tcBorders>
              <w:top w:val="single" w:sz="4" w:space="0" w:color="auto"/>
              <w:left w:val="nil"/>
              <w:bottom w:val="single" w:sz="4" w:space="0" w:color="auto"/>
              <w:right w:val="single" w:sz="4" w:space="0" w:color="auto"/>
            </w:tcBorders>
            <w:vAlign w:val="center"/>
            <w:hideMark/>
          </w:tcPr>
          <w:p w14:paraId="66CF3CE9"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Инвестиционен разход</w:t>
            </w:r>
          </w:p>
        </w:tc>
        <w:tc>
          <w:tcPr>
            <w:tcW w:w="2518" w:type="dxa"/>
            <w:tcBorders>
              <w:top w:val="single" w:sz="4" w:space="0" w:color="auto"/>
              <w:left w:val="nil"/>
              <w:bottom w:val="single" w:sz="4" w:space="0" w:color="auto"/>
              <w:right w:val="single" w:sz="4" w:space="0" w:color="auto"/>
            </w:tcBorders>
            <w:vAlign w:val="center"/>
            <w:hideMark/>
          </w:tcPr>
          <w:p w14:paraId="3760A683"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Приложимост по тип стопанство</w:t>
            </w:r>
          </w:p>
        </w:tc>
      </w:tr>
      <w:tr w:rsidR="00B72E11" w:rsidRPr="00622655" w14:paraId="060B8361" w14:textId="77777777" w:rsidTr="00BA1CD0">
        <w:trPr>
          <w:trHeight w:val="5244"/>
        </w:trPr>
        <w:tc>
          <w:tcPr>
            <w:tcW w:w="1440" w:type="dxa"/>
            <w:tcBorders>
              <w:top w:val="nil"/>
              <w:left w:val="single" w:sz="4" w:space="0" w:color="auto"/>
              <w:bottom w:val="single" w:sz="4" w:space="0" w:color="auto"/>
              <w:right w:val="single" w:sz="4" w:space="0" w:color="auto"/>
            </w:tcBorders>
            <w:vAlign w:val="center"/>
            <w:hideMark/>
          </w:tcPr>
          <w:p w14:paraId="78B32616"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 xml:space="preserve">Безорна и минимална обработка на почвата </w:t>
            </w:r>
          </w:p>
        </w:tc>
        <w:tc>
          <w:tcPr>
            <w:tcW w:w="1967" w:type="dxa"/>
            <w:tcBorders>
              <w:top w:val="nil"/>
              <w:left w:val="nil"/>
              <w:bottom w:val="single" w:sz="4" w:space="0" w:color="auto"/>
              <w:right w:val="single" w:sz="4" w:space="0" w:color="auto"/>
            </w:tcBorders>
            <w:vAlign w:val="center"/>
            <w:hideMark/>
          </w:tcPr>
          <w:p w14:paraId="0BC909A4"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Намаляване на разходите за гориво, труд и амортизация на техника; стабилизиране на добивите при климатичен стрес — ефектите са по-изразени при полски и специализирани стопанства (Garland et al., 2011; Bojarszczuk and Księżak, 2023; Babu et al., 2023)</w:t>
            </w:r>
          </w:p>
        </w:tc>
        <w:tc>
          <w:tcPr>
            <w:tcW w:w="1896" w:type="dxa"/>
            <w:tcBorders>
              <w:top w:val="nil"/>
              <w:left w:val="nil"/>
              <w:bottom w:val="single" w:sz="4" w:space="0" w:color="auto"/>
              <w:right w:val="single" w:sz="4" w:space="0" w:color="auto"/>
            </w:tcBorders>
            <w:vAlign w:val="center"/>
            <w:hideMark/>
          </w:tcPr>
          <w:p w14:paraId="3A837E91"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Намаляване на ерозионните загуби; подобряване на инфилтрацията; поддържане на почвения органичен въглерод (Blanco-Canqui and Ruis, 2020; Triplett Jr. and Dick, 2008)</w:t>
            </w:r>
          </w:p>
        </w:tc>
        <w:tc>
          <w:tcPr>
            <w:tcW w:w="1792" w:type="dxa"/>
            <w:tcBorders>
              <w:top w:val="nil"/>
              <w:left w:val="nil"/>
              <w:bottom w:val="single" w:sz="4" w:space="0" w:color="auto"/>
              <w:right w:val="single" w:sz="4" w:space="0" w:color="auto"/>
            </w:tcBorders>
            <w:vAlign w:val="center"/>
            <w:hideMark/>
          </w:tcPr>
          <w:p w14:paraId="619B5E09"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Преходните разходи включват специализирана техника за директна сеитба, обучение и консултантски услуги; нетният ефект е функция от времевия хоризонт и способността за интеграция с покривни култури и ротации (Young and Schillinger, 2012)</w:t>
            </w:r>
          </w:p>
        </w:tc>
        <w:tc>
          <w:tcPr>
            <w:tcW w:w="2518" w:type="dxa"/>
            <w:tcBorders>
              <w:top w:val="nil"/>
              <w:left w:val="nil"/>
              <w:bottom w:val="single" w:sz="4" w:space="0" w:color="auto"/>
              <w:right w:val="single" w:sz="4" w:space="0" w:color="auto"/>
            </w:tcBorders>
            <w:vAlign w:val="center"/>
            <w:hideMark/>
          </w:tcPr>
          <w:p w14:paraId="2073658D"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Подходяща за едри полски стопанства с достатъчен механизационен парк; ограничена приложимост при малки стопанства и хълмисти терени; по-висока икономическа значимост при специализирани стопанства с по-висока интензивност (Katsalirou and Gerakis, 2022)</w:t>
            </w:r>
          </w:p>
        </w:tc>
      </w:tr>
      <w:tr w:rsidR="00B72E11" w:rsidRPr="00622655" w14:paraId="10813E60" w14:textId="77777777" w:rsidTr="00BA1CD0">
        <w:trPr>
          <w:trHeight w:val="6072"/>
        </w:trPr>
        <w:tc>
          <w:tcPr>
            <w:tcW w:w="1440" w:type="dxa"/>
            <w:tcBorders>
              <w:top w:val="nil"/>
              <w:left w:val="single" w:sz="4" w:space="0" w:color="auto"/>
              <w:bottom w:val="single" w:sz="4" w:space="0" w:color="auto"/>
              <w:right w:val="single" w:sz="4" w:space="0" w:color="auto"/>
            </w:tcBorders>
            <w:vAlign w:val="center"/>
            <w:hideMark/>
          </w:tcPr>
          <w:p w14:paraId="02BBD9B6"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lastRenderedPageBreak/>
              <w:t>Покривни култури (</w:t>
            </w:r>
            <w:r w:rsidRPr="00622655">
              <w:rPr>
                <w:rFonts w:ascii="Times New Roman" w:eastAsia="Times New Roman" w:hAnsi="Times New Roman" w:cs="Times New Roman"/>
                <w:i/>
                <w:iCs/>
                <w:color w:val="000000"/>
              </w:rPr>
              <w:t>cover crops</w:t>
            </w:r>
            <w:r w:rsidRPr="00622655">
              <w:rPr>
                <w:rFonts w:ascii="Times New Roman" w:eastAsia="Times New Roman" w:hAnsi="Times New Roman" w:cs="Times New Roman"/>
                <w:color w:val="000000"/>
              </w:rPr>
              <w:t xml:space="preserve">) </w:t>
            </w:r>
          </w:p>
        </w:tc>
        <w:tc>
          <w:tcPr>
            <w:tcW w:w="1967" w:type="dxa"/>
            <w:tcBorders>
              <w:top w:val="nil"/>
              <w:left w:val="nil"/>
              <w:bottom w:val="single" w:sz="4" w:space="0" w:color="auto"/>
              <w:right w:val="single" w:sz="4" w:space="0" w:color="auto"/>
            </w:tcBorders>
            <w:vAlign w:val="center"/>
            <w:hideMark/>
          </w:tcPr>
          <w:p w14:paraId="7B9BDACE"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Допълнителни разходи за семена и управление краткосрочно; намаляване на разходите за минерално торене и противоерозионни мероприятия средносрочно; стопанствата, прилагащи практиката, показват по-ниски застрахователни загуби при екстремни климатични събития (Quintarelli et al., 2022; Adetunji et al., 2020; Aglasan et al., 2024)</w:t>
            </w:r>
          </w:p>
        </w:tc>
        <w:tc>
          <w:tcPr>
            <w:tcW w:w="1896" w:type="dxa"/>
            <w:tcBorders>
              <w:top w:val="nil"/>
              <w:left w:val="nil"/>
              <w:bottom w:val="single" w:sz="4" w:space="0" w:color="auto"/>
              <w:right w:val="single" w:sz="4" w:space="0" w:color="auto"/>
            </w:tcBorders>
            <w:vAlign w:val="center"/>
            <w:hideMark/>
          </w:tcPr>
          <w:p w14:paraId="2525F9D1"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Редукция на обемната маса; повишаване на водоустойчивите агрегати; усвояване на остатъчен минерален азот и фосфор; ограничаване на излужването и замърсяването на подземните води (Himmelbauer et al., 2013; Bichev and Yordanova, 2018)</w:t>
            </w:r>
          </w:p>
        </w:tc>
        <w:tc>
          <w:tcPr>
            <w:tcW w:w="1792" w:type="dxa"/>
            <w:tcBorders>
              <w:top w:val="nil"/>
              <w:left w:val="nil"/>
              <w:bottom w:val="single" w:sz="4" w:space="0" w:color="auto"/>
              <w:right w:val="single" w:sz="4" w:space="0" w:color="auto"/>
            </w:tcBorders>
            <w:vAlign w:val="center"/>
            <w:hideMark/>
          </w:tcPr>
          <w:p w14:paraId="3CED7D66"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Нисък до среден; разходите за семена и управление се компенсират от намалени разходи за торене при продължително прилагане (Quintarelli et al., 2022)</w:t>
            </w:r>
          </w:p>
        </w:tc>
        <w:tc>
          <w:tcPr>
            <w:tcW w:w="2518" w:type="dxa"/>
            <w:tcBorders>
              <w:top w:val="nil"/>
              <w:left w:val="nil"/>
              <w:bottom w:val="single" w:sz="4" w:space="0" w:color="auto"/>
              <w:right w:val="single" w:sz="4" w:space="0" w:color="auto"/>
            </w:tcBorders>
            <w:vAlign w:val="center"/>
            <w:hideMark/>
          </w:tcPr>
          <w:p w14:paraId="7DF08DEA"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Подходяща за полски и смесени стопанства; ключов инструмент за адаптация към засушаване в региони с висока чувствителност на водния режим (Dzhuvinov et al., 2024)</w:t>
            </w:r>
          </w:p>
        </w:tc>
      </w:tr>
      <w:tr w:rsidR="00B72E11" w:rsidRPr="00622655" w14:paraId="3C64D219" w14:textId="77777777" w:rsidTr="00BA1CD0">
        <w:trPr>
          <w:trHeight w:val="5796"/>
        </w:trPr>
        <w:tc>
          <w:tcPr>
            <w:tcW w:w="1440" w:type="dxa"/>
            <w:tcBorders>
              <w:top w:val="nil"/>
              <w:left w:val="single" w:sz="4" w:space="0" w:color="auto"/>
              <w:bottom w:val="single" w:sz="4" w:space="0" w:color="auto"/>
              <w:right w:val="single" w:sz="4" w:space="0" w:color="auto"/>
            </w:tcBorders>
            <w:vAlign w:val="center"/>
            <w:hideMark/>
          </w:tcPr>
          <w:p w14:paraId="49429FCC"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 xml:space="preserve">Прецизно земеделие (GPS, сензори, дронове) </w:t>
            </w:r>
          </w:p>
        </w:tc>
        <w:tc>
          <w:tcPr>
            <w:tcW w:w="1967" w:type="dxa"/>
            <w:tcBorders>
              <w:top w:val="nil"/>
              <w:left w:val="nil"/>
              <w:bottom w:val="single" w:sz="4" w:space="0" w:color="auto"/>
              <w:right w:val="single" w:sz="4" w:space="0" w:color="auto"/>
            </w:tcBorders>
            <w:vAlign w:val="center"/>
            <w:hideMark/>
          </w:tcPr>
          <w:p w14:paraId="1BF9346C"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 xml:space="preserve">Намаляване на разходите за торове и продукти за растителна защита без отрицателен ефект върху добивите — ефектите варират в зависимост от мащаба, структурата на културите и степента на технологична интеграция (Padhiary et al., 2024; Karunathilake et al., 2023); стабилизиране на добивите при </w:t>
            </w:r>
            <w:r w:rsidRPr="00622655">
              <w:rPr>
                <w:rFonts w:ascii="Times New Roman" w:eastAsia="Times New Roman" w:hAnsi="Times New Roman" w:cs="Times New Roman"/>
                <w:color w:val="000000"/>
              </w:rPr>
              <w:lastRenderedPageBreak/>
              <w:t>климатична несигурност (Saranya et al., 2023)</w:t>
            </w:r>
          </w:p>
        </w:tc>
        <w:tc>
          <w:tcPr>
            <w:tcW w:w="1896" w:type="dxa"/>
            <w:tcBorders>
              <w:top w:val="nil"/>
              <w:left w:val="nil"/>
              <w:bottom w:val="single" w:sz="4" w:space="0" w:color="auto"/>
              <w:right w:val="single" w:sz="4" w:space="0" w:color="auto"/>
            </w:tcBorders>
            <w:vAlign w:val="center"/>
            <w:hideMark/>
          </w:tcPr>
          <w:p w14:paraId="425CC882"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lastRenderedPageBreak/>
              <w:t>Намаляване на дифузното замърсяване на почвите и водните ресурси; ограничаване на N₂O емисиите при по-точно дозиране на азотни торове; оптимизиране на водоползването (Adewusi et al., 2024; Ram et al., 2024)</w:t>
            </w:r>
          </w:p>
        </w:tc>
        <w:tc>
          <w:tcPr>
            <w:tcW w:w="1792" w:type="dxa"/>
            <w:tcBorders>
              <w:top w:val="nil"/>
              <w:left w:val="nil"/>
              <w:bottom w:val="single" w:sz="4" w:space="0" w:color="auto"/>
              <w:right w:val="single" w:sz="4" w:space="0" w:color="auto"/>
            </w:tcBorders>
            <w:vAlign w:val="center"/>
            <w:hideMark/>
          </w:tcPr>
          <w:p w14:paraId="7C8502AF"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Висок начален капиталов разход за техника, софтуер и обучение; икономическата възвръщаемост е силно зависима от размера на стопанството — при по-едрите стопанства ефектите върху доходността са по-изразени (Yadav et al., 2023)</w:t>
            </w:r>
          </w:p>
        </w:tc>
        <w:tc>
          <w:tcPr>
            <w:tcW w:w="2518" w:type="dxa"/>
            <w:tcBorders>
              <w:top w:val="nil"/>
              <w:left w:val="nil"/>
              <w:bottom w:val="single" w:sz="4" w:space="0" w:color="auto"/>
              <w:right w:val="single" w:sz="4" w:space="0" w:color="auto"/>
            </w:tcBorders>
            <w:vAlign w:val="center"/>
            <w:hideMark/>
          </w:tcPr>
          <w:p w14:paraId="15C4DD27"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Подходяща предимно за по-едри стопанства; при малките и средните приложимостта е ограничена от инвестиционните бариери; публичните политики на ЕС чрез екосхемите и мерките за дигитализация имат ключова роля за преодоляване на тези бариери (Getahun et al., 2024)</w:t>
            </w:r>
          </w:p>
        </w:tc>
      </w:tr>
      <w:tr w:rsidR="00B72E11" w:rsidRPr="00622655" w14:paraId="4820BD6E" w14:textId="77777777" w:rsidTr="00BA1CD0">
        <w:trPr>
          <w:trHeight w:val="6348"/>
        </w:trPr>
        <w:tc>
          <w:tcPr>
            <w:tcW w:w="1440" w:type="dxa"/>
            <w:tcBorders>
              <w:top w:val="nil"/>
              <w:left w:val="single" w:sz="4" w:space="0" w:color="auto"/>
              <w:bottom w:val="single" w:sz="4" w:space="0" w:color="auto"/>
              <w:right w:val="single" w:sz="4" w:space="0" w:color="auto"/>
            </w:tcBorders>
            <w:vAlign w:val="center"/>
            <w:hideMark/>
          </w:tcPr>
          <w:p w14:paraId="02DCD404"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 xml:space="preserve">Инхибирани азотни торове </w:t>
            </w:r>
          </w:p>
        </w:tc>
        <w:tc>
          <w:tcPr>
            <w:tcW w:w="1967" w:type="dxa"/>
            <w:tcBorders>
              <w:top w:val="nil"/>
              <w:left w:val="nil"/>
              <w:bottom w:val="single" w:sz="4" w:space="0" w:color="auto"/>
              <w:right w:val="single" w:sz="4" w:space="0" w:color="auto"/>
            </w:tcBorders>
            <w:vAlign w:val="center"/>
            <w:hideMark/>
          </w:tcPr>
          <w:p w14:paraId="6CBE4324"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Повишаване на ефективността на усвояване на азота от растенията; намаляване на нуждата от допълнително торене; при DMPP — намаляване на загубите на азот с около 30–40%; пазарната стойност на инхибиторите се оценява на 602 млн. USD глобално (2024 г.) — индикатор за нарастващото им икономическо значение (Ivanov and Kirovski, 2014; Coskun et al., 2017; DataM Intelligence, 2024)</w:t>
            </w:r>
          </w:p>
        </w:tc>
        <w:tc>
          <w:tcPr>
            <w:tcW w:w="1896" w:type="dxa"/>
            <w:tcBorders>
              <w:top w:val="nil"/>
              <w:left w:val="nil"/>
              <w:bottom w:val="single" w:sz="4" w:space="0" w:color="auto"/>
              <w:right w:val="single" w:sz="4" w:space="0" w:color="auto"/>
            </w:tcBorders>
            <w:vAlign w:val="center"/>
            <w:hideMark/>
          </w:tcPr>
          <w:p w14:paraId="5A22A3EE"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Намаляване на N₂O емисиите с 50–60% при Pyridylnitrite; ограничаване на нитратното излугване в подземните и повърхностните води; при CRF торове — намаляване на измиването на хранителни вещества с до 40% (Song et al., 2025; Procházka et al., 2012) — вж. Таблица 2</w:t>
            </w:r>
          </w:p>
        </w:tc>
        <w:tc>
          <w:tcPr>
            <w:tcW w:w="1792" w:type="dxa"/>
            <w:tcBorders>
              <w:top w:val="nil"/>
              <w:left w:val="nil"/>
              <w:bottom w:val="single" w:sz="4" w:space="0" w:color="auto"/>
              <w:right w:val="single" w:sz="4" w:space="0" w:color="auto"/>
            </w:tcBorders>
            <w:vAlign w:val="center"/>
            <w:hideMark/>
          </w:tcPr>
          <w:p w14:paraId="7DF7C8EF"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Нисък до среден; по-висока единична цена на тора, компенсирана от по-ниска необходима дозировка и намален брой торения (Ivanov and Kirovski, 2014)</w:t>
            </w:r>
          </w:p>
        </w:tc>
        <w:tc>
          <w:tcPr>
            <w:tcW w:w="2518" w:type="dxa"/>
            <w:tcBorders>
              <w:top w:val="nil"/>
              <w:left w:val="nil"/>
              <w:bottom w:val="single" w:sz="4" w:space="0" w:color="auto"/>
              <w:right w:val="single" w:sz="4" w:space="0" w:color="auto"/>
            </w:tcBorders>
            <w:vAlign w:val="center"/>
            <w:hideMark/>
          </w:tcPr>
          <w:p w14:paraId="25E4731C"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Приложима за всички полски стопанства; особено ефективна при влажни почви и в близост до уязвими водни тела; лесно интегрируема в екосхемите на ОСП (Song et al., 2025)</w:t>
            </w:r>
          </w:p>
        </w:tc>
      </w:tr>
      <w:tr w:rsidR="00B72E11" w:rsidRPr="00622655" w14:paraId="6FB0E734" w14:textId="77777777" w:rsidTr="00BA1CD0">
        <w:trPr>
          <w:trHeight w:val="6624"/>
        </w:trPr>
        <w:tc>
          <w:tcPr>
            <w:tcW w:w="1440" w:type="dxa"/>
            <w:tcBorders>
              <w:top w:val="nil"/>
              <w:left w:val="single" w:sz="4" w:space="0" w:color="auto"/>
              <w:bottom w:val="single" w:sz="4" w:space="0" w:color="auto"/>
              <w:right w:val="single" w:sz="4" w:space="0" w:color="auto"/>
            </w:tcBorders>
            <w:vAlign w:val="center"/>
            <w:hideMark/>
          </w:tcPr>
          <w:p w14:paraId="2B101102"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lastRenderedPageBreak/>
              <w:t xml:space="preserve">Интегрирано управление на вредителите </w:t>
            </w:r>
          </w:p>
        </w:tc>
        <w:tc>
          <w:tcPr>
            <w:tcW w:w="1967" w:type="dxa"/>
            <w:tcBorders>
              <w:top w:val="nil"/>
              <w:left w:val="nil"/>
              <w:bottom w:val="single" w:sz="4" w:space="0" w:color="auto"/>
              <w:right w:val="single" w:sz="4" w:space="0" w:color="auto"/>
            </w:tcBorders>
            <w:vAlign w:val="center"/>
            <w:hideMark/>
          </w:tcPr>
          <w:p w14:paraId="226950B8"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Намаляване на разходите за пестициди чрез прилагане на икономически прагове на вредност; оптимизиране на разходите при ограничен бюджет чрез преход от „календарно" третиране към управление, основано на диагностика и прогноза; при средносрочен хоризонт — по-стабилни приходи при климатична и пазарна несигурност (Elliott et al., 1995; Kogan, 1998; Rustia et al., 2022)</w:t>
            </w:r>
          </w:p>
        </w:tc>
        <w:tc>
          <w:tcPr>
            <w:tcW w:w="1896" w:type="dxa"/>
            <w:tcBorders>
              <w:top w:val="nil"/>
              <w:left w:val="nil"/>
              <w:bottom w:val="single" w:sz="4" w:space="0" w:color="auto"/>
              <w:right w:val="single" w:sz="4" w:space="0" w:color="auto"/>
            </w:tcBorders>
            <w:vAlign w:val="center"/>
            <w:hideMark/>
          </w:tcPr>
          <w:p w14:paraId="3D4A7843"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Намаляване на пестицидното натоварване върху почвата и водите; опазване на полезни насекоми, опрашители и естествени врагове на вредителите; поддържане на функционалното биоразнообразие в агроекосистемите (Gao et al., 2025; Zhou et al., 2024)</w:t>
            </w:r>
          </w:p>
        </w:tc>
        <w:tc>
          <w:tcPr>
            <w:tcW w:w="1792" w:type="dxa"/>
            <w:tcBorders>
              <w:top w:val="nil"/>
              <w:left w:val="nil"/>
              <w:bottom w:val="single" w:sz="4" w:space="0" w:color="auto"/>
              <w:right w:val="single" w:sz="4" w:space="0" w:color="auto"/>
            </w:tcBorders>
            <w:vAlign w:val="center"/>
            <w:hideMark/>
          </w:tcPr>
          <w:p w14:paraId="6CF47EE0"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Нисък при наличен обучен персонал; среден при необходимост от специализирано оборудване и мониторингови системи; интегрирането на цифрови технологии може да повиши разходите, но и точността на решенията (Han et al., 2024)</w:t>
            </w:r>
          </w:p>
        </w:tc>
        <w:tc>
          <w:tcPr>
            <w:tcW w:w="2518" w:type="dxa"/>
            <w:tcBorders>
              <w:top w:val="nil"/>
              <w:left w:val="nil"/>
              <w:bottom w:val="single" w:sz="4" w:space="0" w:color="auto"/>
              <w:right w:val="single" w:sz="4" w:space="0" w:color="auto"/>
            </w:tcBorders>
            <w:vAlign w:val="center"/>
            <w:hideMark/>
          </w:tcPr>
          <w:p w14:paraId="7AB43DB9"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Приложима за всички типове стопанства; задължителна при биологично производство; нормативно изискване съгласно Директива 2009/128/EC на ЕС (European Parliament and Council, 2009)</w:t>
            </w:r>
          </w:p>
        </w:tc>
      </w:tr>
      <w:tr w:rsidR="00B72E11" w:rsidRPr="00622655" w14:paraId="3024A8AE" w14:textId="77777777" w:rsidTr="00BA1CD0">
        <w:trPr>
          <w:trHeight w:val="5244"/>
        </w:trPr>
        <w:tc>
          <w:tcPr>
            <w:tcW w:w="1440" w:type="dxa"/>
            <w:tcBorders>
              <w:top w:val="nil"/>
              <w:left w:val="single" w:sz="4" w:space="0" w:color="auto"/>
              <w:bottom w:val="single" w:sz="4" w:space="0" w:color="auto"/>
              <w:right w:val="single" w:sz="4" w:space="0" w:color="auto"/>
            </w:tcBorders>
            <w:vAlign w:val="center"/>
            <w:hideMark/>
          </w:tcPr>
          <w:p w14:paraId="70A29F9D"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 xml:space="preserve">Капково напояване </w:t>
            </w:r>
          </w:p>
        </w:tc>
        <w:tc>
          <w:tcPr>
            <w:tcW w:w="1967" w:type="dxa"/>
            <w:tcBorders>
              <w:top w:val="nil"/>
              <w:left w:val="nil"/>
              <w:bottom w:val="single" w:sz="4" w:space="0" w:color="auto"/>
              <w:right w:val="single" w:sz="4" w:space="0" w:color="auto"/>
            </w:tcBorders>
            <w:vAlign w:val="center"/>
            <w:hideMark/>
          </w:tcPr>
          <w:p w14:paraId="29D22F44" w14:textId="77777777"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 xml:space="preserve">Намаляване на разходите за вода и енергия при поливни условия; редукция на поливната вода с 20–30% при запазен или подобрен добив при агрономически обоснован дефицитен режим; икономическата целесъобразност зависи от цената на водата, стойността на продукцията и </w:t>
            </w:r>
            <w:r w:rsidRPr="00622655">
              <w:rPr>
                <w:rFonts w:ascii="Times New Roman" w:eastAsia="Times New Roman" w:hAnsi="Times New Roman" w:cs="Times New Roman"/>
                <w:color w:val="000000"/>
              </w:rPr>
              <w:lastRenderedPageBreak/>
              <w:t>амортизационния период (Dasberg and Or, 2013; Dimitrova and Tsvetanov, 2015)</w:t>
            </w:r>
          </w:p>
        </w:tc>
        <w:tc>
          <w:tcPr>
            <w:tcW w:w="1896" w:type="dxa"/>
            <w:tcBorders>
              <w:top w:val="nil"/>
              <w:left w:val="nil"/>
              <w:bottom w:val="single" w:sz="4" w:space="0" w:color="auto"/>
              <w:right w:val="single" w:sz="4" w:space="0" w:color="auto"/>
            </w:tcBorders>
            <w:vAlign w:val="center"/>
            <w:hideMark/>
          </w:tcPr>
          <w:p w14:paraId="7F6C0676" w14:textId="4E693E15"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lastRenderedPageBreak/>
              <w:t>Намаляване на водоползването; ограничаване на замърсяване</w:t>
            </w:r>
            <w:r w:rsidR="00EF63FF">
              <w:rPr>
                <w:rFonts w:ascii="Times New Roman" w:eastAsia="Times New Roman" w:hAnsi="Times New Roman" w:cs="Times New Roman"/>
                <w:color w:val="000000"/>
                <w:lang w:val="bg-BG"/>
              </w:rPr>
              <w:t>то</w:t>
            </w:r>
            <w:r w:rsidRPr="00622655">
              <w:rPr>
                <w:rFonts w:ascii="Times New Roman" w:eastAsia="Times New Roman" w:hAnsi="Times New Roman" w:cs="Times New Roman"/>
                <w:color w:val="000000"/>
              </w:rPr>
              <w:t xml:space="preserve"> при прецизно дозиране; предотвратяване на деградацията и засоляването на почвата (Van der Kooij et al., 2013; Benouniche et al., 2014)</w:t>
            </w:r>
          </w:p>
        </w:tc>
        <w:tc>
          <w:tcPr>
            <w:tcW w:w="1792" w:type="dxa"/>
            <w:tcBorders>
              <w:top w:val="nil"/>
              <w:left w:val="nil"/>
              <w:bottom w:val="single" w:sz="4" w:space="0" w:color="auto"/>
              <w:right w:val="single" w:sz="4" w:space="0" w:color="auto"/>
            </w:tcBorders>
            <w:vAlign w:val="center"/>
            <w:hideMark/>
          </w:tcPr>
          <w:p w14:paraId="6E40D6FF" w14:textId="12D37EF5" w:rsidR="00B72E11" w:rsidRPr="00622655" w:rsidRDefault="00B72E11" w:rsidP="00BA1CD0">
            <w:pPr>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 xml:space="preserve">Висок — изисква инфраструктура, разходи </w:t>
            </w:r>
            <w:r w:rsidR="00EF63FF">
              <w:rPr>
                <w:rFonts w:ascii="Times New Roman" w:eastAsia="Times New Roman" w:hAnsi="Times New Roman" w:cs="Times New Roman"/>
                <w:color w:val="000000"/>
                <w:lang w:val="bg-BG"/>
              </w:rPr>
              <w:t xml:space="preserve">за монтаж </w:t>
            </w:r>
            <w:r w:rsidRPr="00622655">
              <w:rPr>
                <w:rFonts w:ascii="Times New Roman" w:eastAsia="Times New Roman" w:hAnsi="Times New Roman" w:cs="Times New Roman"/>
                <w:color w:val="000000"/>
              </w:rPr>
              <w:t>и поддръжка; необходима инвестиционна подкрепа и консултантски механизми, особено за малките и средните стопанства (Aleksiev et al., 2024)</w:t>
            </w:r>
          </w:p>
        </w:tc>
        <w:tc>
          <w:tcPr>
            <w:tcW w:w="2518" w:type="dxa"/>
            <w:tcBorders>
              <w:top w:val="nil"/>
              <w:left w:val="nil"/>
              <w:bottom w:val="single" w:sz="4" w:space="0" w:color="auto"/>
              <w:right w:val="single" w:sz="4" w:space="0" w:color="auto"/>
            </w:tcBorders>
            <w:vAlign w:val="center"/>
            <w:hideMark/>
          </w:tcPr>
          <w:p w14:paraId="4884F7D6" w14:textId="77777777" w:rsidR="00B72E11" w:rsidRPr="00622655" w:rsidRDefault="00B72E11" w:rsidP="00BA1CD0">
            <w:pPr>
              <w:keepNext/>
              <w:spacing w:after="0" w:line="240" w:lineRule="auto"/>
              <w:jc w:val="center"/>
              <w:rPr>
                <w:rFonts w:ascii="Times New Roman" w:eastAsia="Times New Roman" w:hAnsi="Times New Roman" w:cs="Times New Roman"/>
                <w:color w:val="000000"/>
              </w:rPr>
            </w:pPr>
            <w:r w:rsidRPr="00622655">
              <w:rPr>
                <w:rFonts w:ascii="Times New Roman" w:eastAsia="Times New Roman" w:hAnsi="Times New Roman" w:cs="Times New Roman"/>
                <w:color w:val="000000"/>
              </w:rPr>
              <w:t>Зеленчукопроизводство, трайни насаждения и напоявани полски култури; ограничена за неполивни зони; позиционирана като инструмент за водна ефективност в политиките на ЕС (Aleksiev et al., 2024)</w:t>
            </w:r>
          </w:p>
        </w:tc>
      </w:tr>
    </w:tbl>
    <w:p w14:paraId="0967F02F" w14:textId="77777777" w:rsidR="00B72E11" w:rsidRPr="00622655" w:rsidRDefault="00B72E11" w:rsidP="00B72E11">
      <w:pPr>
        <w:spacing w:line="360" w:lineRule="auto"/>
        <w:jc w:val="center"/>
        <w:rPr>
          <w:rFonts w:ascii="Times New Roman" w:hAnsi="Times New Roman"/>
          <w:i/>
          <w:iCs/>
          <w:szCs w:val="20"/>
        </w:rPr>
      </w:pPr>
      <w:r w:rsidRPr="00622655">
        <w:rPr>
          <w:rFonts w:ascii="Times New Roman" w:hAnsi="Times New Roman"/>
          <w:i/>
          <w:iCs/>
          <w:szCs w:val="20"/>
        </w:rPr>
        <w:t>Източници: собствена разработка въз основа на: Teixeira et al. (2020); OECD (2020); European Commission (2023).</w:t>
      </w:r>
    </w:p>
    <w:p w14:paraId="0976B134" w14:textId="77777777" w:rsidR="002B1E55" w:rsidRPr="002B1E55" w:rsidRDefault="002B1E55" w:rsidP="00B72E11">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Теоретичните аспекти на икономическия размер и специализацията за класификацията на земеделските стопанства се основават на Общностната типология (Регламент 85/377/ЕИО). Класификацията на земеделските стопанства по размер и клас е представена в следната таблица:</w:t>
      </w:r>
    </w:p>
    <w:p w14:paraId="404D44CE" w14:textId="77777777" w:rsidR="00B72E11" w:rsidRPr="00622655" w:rsidRDefault="00B72E11" w:rsidP="00B72E11">
      <w:pPr>
        <w:spacing w:line="360" w:lineRule="auto"/>
        <w:jc w:val="center"/>
        <w:rPr>
          <w:rFonts w:ascii="Times New Roman" w:hAnsi="Times New Roman"/>
          <w:lang w:val="bg-BG"/>
        </w:rPr>
      </w:pPr>
      <w:bookmarkStart w:id="5" w:name="_Toc228919013"/>
      <w:r w:rsidRPr="00622655">
        <w:rPr>
          <w:rFonts w:ascii="Times New Roman" w:hAnsi="Times New Roman"/>
          <w:lang w:val="bg-BG"/>
        </w:rPr>
        <w:t xml:space="preserve">Таблица </w:t>
      </w:r>
      <w:r w:rsidRPr="00622655">
        <w:rPr>
          <w:rFonts w:ascii="Times New Roman" w:hAnsi="Times New Roman"/>
          <w:lang w:val="bg-BG"/>
        </w:rPr>
        <w:fldChar w:fldCharType="begin"/>
      </w:r>
      <w:r w:rsidRPr="00622655">
        <w:rPr>
          <w:rFonts w:ascii="Times New Roman" w:hAnsi="Times New Roman"/>
          <w:lang w:val="bg-BG"/>
        </w:rPr>
        <w:instrText xml:space="preserve"> SEQ Таблица \* ARABIC </w:instrText>
      </w:r>
      <w:r w:rsidRPr="00622655">
        <w:rPr>
          <w:rFonts w:ascii="Times New Roman" w:hAnsi="Times New Roman"/>
          <w:lang w:val="bg-BG"/>
        </w:rPr>
        <w:fldChar w:fldCharType="separate"/>
      </w:r>
      <w:r w:rsidRPr="00622655">
        <w:rPr>
          <w:rFonts w:ascii="Times New Roman" w:hAnsi="Times New Roman"/>
          <w:noProof/>
          <w:lang w:val="bg-BG"/>
        </w:rPr>
        <w:t>4</w:t>
      </w:r>
      <w:r w:rsidRPr="00622655">
        <w:rPr>
          <w:rFonts w:ascii="Times New Roman" w:hAnsi="Times New Roman"/>
          <w:lang w:val="bg-BG"/>
        </w:rPr>
        <w:fldChar w:fldCharType="end"/>
      </w:r>
      <w:r w:rsidRPr="00622655">
        <w:rPr>
          <w:rFonts w:ascii="Times New Roman" w:hAnsi="Times New Roman"/>
          <w:lang w:val="bg-BG"/>
        </w:rPr>
        <w:t xml:space="preserve"> Класификация на земеделските стопанства по размер и клас</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B72E11" w:rsidRPr="00622655" w14:paraId="4998F259" w14:textId="77777777" w:rsidTr="00BA1CD0">
        <w:tc>
          <w:tcPr>
            <w:tcW w:w="4675" w:type="dxa"/>
          </w:tcPr>
          <w:p w14:paraId="6F555BE3" w14:textId="77777777"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t>Класове икономически размер</w:t>
            </w:r>
          </w:p>
        </w:tc>
        <w:tc>
          <w:tcPr>
            <w:tcW w:w="4675" w:type="dxa"/>
          </w:tcPr>
          <w:p w14:paraId="38B3177D" w14:textId="77777777"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t>Праг в евро</w:t>
            </w:r>
          </w:p>
        </w:tc>
      </w:tr>
      <w:tr w:rsidR="00B72E11" w:rsidRPr="00622655" w14:paraId="22F4B288" w14:textId="77777777" w:rsidTr="00BA1CD0">
        <w:tc>
          <w:tcPr>
            <w:tcW w:w="4675" w:type="dxa"/>
          </w:tcPr>
          <w:p w14:paraId="0B96154E" w14:textId="77777777" w:rsidR="00B72E11" w:rsidRPr="00622655" w:rsidRDefault="00B72E11" w:rsidP="00BA1CD0">
            <w:pPr>
              <w:spacing w:line="360" w:lineRule="auto"/>
              <w:jc w:val="center"/>
              <w:rPr>
                <w:rFonts w:ascii="Times New Roman" w:hAnsi="Times New Roman"/>
                <w:b/>
              </w:rPr>
            </w:pPr>
            <w:r w:rsidRPr="00622655">
              <w:rPr>
                <w:rFonts w:ascii="Times New Roman" w:hAnsi="Times New Roman"/>
                <w:b/>
              </w:rPr>
              <w:t>I</w:t>
            </w:r>
          </w:p>
        </w:tc>
        <w:tc>
          <w:tcPr>
            <w:tcW w:w="4675" w:type="dxa"/>
          </w:tcPr>
          <w:p w14:paraId="17BC0411"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2 000 - &lt; 8 000 EUR – много малки стопанства</w:t>
            </w:r>
          </w:p>
        </w:tc>
      </w:tr>
      <w:tr w:rsidR="00B72E11" w:rsidRPr="00622655" w14:paraId="667B82D1" w14:textId="77777777" w:rsidTr="00BA1CD0">
        <w:tc>
          <w:tcPr>
            <w:tcW w:w="4675" w:type="dxa"/>
          </w:tcPr>
          <w:p w14:paraId="2071C148" w14:textId="77777777" w:rsidR="00B72E11" w:rsidRPr="00622655" w:rsidRDefault="00B72E11" w:rsidP="00BA1CD0">
            <w:pPr>
              <w:spacing w:line="360" w:lineRule="auto"/>
              <w:jc w:val="center"/>
              <w:rPr>
                <w:rFonts w:ascii="Times New Roman" w:hAnsi="Times New Roman"/>
                <w:b/>
              </w:rPr>
            </w:pPr>
            <w:r w:rsidRPr="00622655">
              <w:rPr>
                <w:rFonts w:ascii="Times New Roman" w:hAnsi="Times New Roman"/>
                <w:b/>
              </w:rPr>
              <w:t>II</w:t>
            </w:r>
          </w:p>
        </w:tc>
        <w:tc>
          <w:tcPr>
            <w:tcW w:w="4675" w:type="dxa"/>
          </w:tcPr>
          <w:p w14:paraId="4710B1A3"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8 000 - &lt; 25 000 EUR – малки стопанства</w:t>
            </w:r>
          </w:p>
        </w:tc>
      </w:tr>
      <w:tr w:rsidR="00B72E11" w:rsidRPr="00622655" w14:paraId="1B3C013D" w14:textId="77777777" w:rsidTr="00BA1CD0">
        <w:tc>
          <w:tcPr>
            <w:tcW w:w="4675" w:type="dxa"/>
          </w:tcPr>
          <w:p w14:paraId="2B568C81" w14:textId="77777777" w:rsidR="00B72E11" w:rsidRPr="00622655" w:rsidRDefault="00B72E11" w:rsidP="00BA1CD0">
            <w:pPr>
              <w:spacing w:line="360" w:lineRule="auto"/>
              <w:jc w:val="center"/>
              <w:rPr>
                <w:rFonts w:ascii="Times New Roman" w:hAnsi="Times New Roman"/>
                <w:b/>
              </w:rPr>
            </w:pPr>
            <w:r w:rsidRPr="00622655">
              <w:rPr>
                <w:rFonts w:ascii="Times New Roman" w:hAnsi="Times New Roman"/>
                <w:b/>
              </w:rPr>
              <w:t>III</w:t>
            </w:r>
          </w:p>
        </w:tc>
        <w:tc>
          <w:tcPr>
            <w:tcW w:w="4675" w:type="dxa"/>
          </w:tcPr>
          <w:p w14:paraId="3258FF04"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25 000 - &lt; 50 000 EUR – средни стопанства</w:t>
            </w:r>
          </w:p>
        </w:tc>
      </w:tr>
      <w:tr w:rsidR="00B72E11" w:rsidRPr="00622655" w14:paraId="14D13A17" w14:textId="77777777" w:rsidTr="00BA1CD0">
        <w:tc>
          <w:tcPr>
            <w:tcW w:w="4675" w:type="dxa"/>
          </w:tcPr>
          <w:p w14:paraId="68085142" w14:textId="77777777" w:rsidR="00B72E11" w:rsidRPr="00622655" w:rsidRDefault="00B72E11" w:rsidP="00BA1CD0">
            <w:pPr>
              <w:spacing w:line="360" w:lineRule="auto"/>
              <w:jc w:val="center"/>
              <w:rPr>
                <w:rFonts w:ascii="Times New Roman" w:hAnsi="Times New Roman"/>
                <w:b/>
              </w:rPr>
            </w:pPr>
            <w:r w:rsidRPr="00622655">
              <w:rPr>
                <w:rFonts w:ascii="Times New Roman" w:hAnsi="Times New Roman"/>
                <w:b/>
              </w:rPr>
              <w:t>IV</w:t>
            </w:r>
          </w:p>
        </w:tc>
        <w:tc>
          <w:tcPr>
            <w:tcW w:w="4675" w:type="dxa"/>
          </w:tcPr>
          <w:p w14:paraId="2222317D"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50 000 - &lt; 100 000 EUR – големи стопанства</w:t>
            </w:r>
          </w:p>
        </w:tc>
      </w:tr>
      <w:tr w:rsidR="00B72E11" w:rsidRPr="00622655" w14:paraId="65FE3A2A" w14:textId="77777777" w:rsidTr="00BA1CD0">
        <w:tc>
          <w:tcPr>
            <w:tcW w:w="4675" w:type="dxa"/>
          </w:tcPr>
          <w:p w14:paraId="39AE483E" w14:textId="77777777" w:rsidR="00B72E11" w:rsidRPr="00622655" w:rsidRDefault="00B72E11" w:rsidP="00BA1CD0">
            <w:pPr>
              <w:spacing w:line="360" w:lineRule="auto"/>
              <w:jc w:val="center"/>
              <w:rPr>
                <w:rFonts w:ascii="Times New Roman" w:hAnsi="Times New Roman"/>
                <w:b/>
              </w:rPr>
            </w:pPr>
            <w:r w:rsidRPr="00622655">
              <w:rPr>
                <w:rFonts w:ascii="Times New Roman" w:hAnsi="Times New Roman"/>
                <w:b/>
              </w:rPr>
              <w:lastRenderedPageBreak/>
              <w:t>V</w:t>
            </w:r>
          </w:p>
        </w:tc>
        <w:tc>
          <w:tcPr>
            <w:tcW w:w="4675" w:type="dxa"/>
          </w:tcPr>
          <w:p w14:paraId="6E163BBA"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100 000 - &lt; 500 000 EUR – много големи стопанства</w:t>
            </w:r>
          </w:p>
        </w:tc>
      </w:tr>
      <w:tr w:rsidR="00B72E11" w:rsidRPr="00622655" w14:paraId="2BE74DB5" w14:textId="77777777" w:rsidTr="00BA1CD0">
        <w:tc>
          <w:tcPr>
            <w:tcW w:w="4675" w:type="dxa"/>
          </w:tcPr>
          <w:p w14:paraId="650A572A" w14:textId="77777777" w:rsidR="00B72E11" w:rsidRPr="00622655" w:rsidRDefault="00B72E11" w:rsidP="00BA1CD0">
            <w:pPr>
              <w:spacing w:line="360" w:lineRule="auto"/>
              <w:jc w:val="center"/>
              <w:rPr>
                <w:rFonts w:ascii="Times New Roman" w:hAnsi="Times New Roman"/>
                <w:b/>
              </w:rPr>
            </w:pPr>
            <w:r w:rsidRPr="00622655">
              <w:rPr>
                <w:rFonts w:ascii="Times New Roman" w:hAnsi="Times New Roman"/>
                <w:b/>
              </w:rPr>
              <w:t>VI</w:t>
            </w:r>
          </w:p>
        </w:tc>
        <w:tc>
          <w:tcPr>
            <w:tcW w:w="4675" w:type="dxa"/>
          </w:tcPr>
          <w:p w14:paraId="58BED467"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&gt;= 500 000 EUR – индустриални аграрни</w:t>
            </w:r>
            <w:r w:rsidRPr="00622655">
              <w:rPr>
                <w:rFonts w:ascii="Times New Roman" w:hAnsi="Times New Roman"/>
              </w:rPr>
              <w:t xml:space="preserve"> </w:t>
            </w:r>
            <w:r w:rsidRPr="00622655">
              <w:rPr>
                <w:rFonts w:ascii="Times New Roman" w:hAnsi="Times New Roman"/>
                <w:lang w:val="bg-BG"/>
              </w:rPr>
              <w:t>стопанства</w:t>
            </w:r>
          </w:p>
        </w:tc>
      </w:tr>
    </w:tbl>
    <w:p w14:paraId="639CEDDF" w14:textId="77777777" w:rsidR="00B72E11" w:rsidRPr="00622655" w:rsidRDefault="00B72E11" w:rsidP="00B72E11">
      <w:pPr>
        <w:spacing w:line="360" w:lineRule="auto"/>
        <w:jc w:val="center"/>
        <w:rPr>
          <w:rFonts w:ascii="Times New Roman" w:hAnsi="Times New Roman"/>
        </w:rPr>
      </w:pPr>
      <w:r w:rsidRPr="00622655">
        <w:rPr>
          <w:rFonts w:ascii="Times New Roman" w:hAnsi="Times New Roman"/>
          <w:lang w:val="bg-BG"/>
        </w:rPr>
        <w:t xml:space="preserve">Източник: Собствена схема , адаптирана от </w:t>
      </w:r>
      <w:r w:rsidRPr="00622655">
        <w:rPr>
          <w:rFonts w:ascii="Times New Roman" w:hAnsi="Times New Roman"/>
        </w:rPr>
        <w:t>FADN</w:t>
      </w:r>
    </w:p>
    <w:p w14:paraId="1A3E4566" w14:textId="77777777" w:rsidR="002B1E55" w:rsidRPr="002B1E55" w:rsidRDefault="002B1E55" w:rsidP="00B72E11">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Специализацията на базата на кодовете за типовете земеделие (TF) е систематизирана в следната таблица:</w:t>
      </w:r>
    </w:p>
    <w:p w14:paraId="12AC957D" w14:textId="77777777" w:rsidR="00B72E11" w:rsidRPr="00622655" w:rsidRDefault="00B72E11" w:rsidP="00B72E11">
      <w:pPr>
        <w:spacing w:line="360" w:lineRule="auto"/>
        <w:jc w:val="center"/>
        <w:rPr>
          <w:rFonts w:ascii="Times New Roman" w:hAnsi="Times New Roman"/>
          <w:lang w:val="bg-BG"/>
        </w:rPr>
      </w:pPr>
      <w:bookmarkStart w:id="6" w:name="_Toc228919014"/>
      <w:r w:rsidRPr="00622655">
        <w:rPr>
          <w:rFonts w:ascii="Times New Roman" w:hAnsi="Times New Roman"/>
          <w:lang w:val="bg-BG"/>
        </w:rPr>
        <w:t xml:space="preserve">Таблица </w:t>
      </w:r>
      <w:r w:rsidRPr="00622655">
        <w:rPr>
          <w:rFonts w:ascii="Times New Roman" w:hAnsi="Times New Roman"/>
          <w:lang w:val="bg-BG"/>
        </w:rPr>
        <w:fldChar w:fldCharType="begin"/>
      </w:r>
      <w:r w:rsidRPr="00622655">
        <w:rPr>
          <w:rFonts w:ascii="Times New Roman" w:hAnsi="Times New Roman"/>
          <w:lang w:val="bg-BG"/>
        </w:rPr>
        <w:instrText xml:space="preserve"> SEQ Таблица \* ARABIC </w:instrText>
      </w:r>
      <w:r w:rsidRPr="00622655">
        <w:rPr>
          <w:rFonts w:ascii="Times New Roman" w:hAnsi="Times New Roman"/>
          <w:lang w:val="bg-BG"/>
        </w:rPr>
        <w:fldChar w:fldCharType="separate"/>
      </w:r>
      <w:r w:rsidRPr="00622655">
        <w:rPr>
          <w:rFonts w:ascii="Times New Roman" w:hAnsi="Times New Roman"/>
          <w:noProof/>
          <w:lang w:val="bg-BG"/>
        </w:rPr>
        <w:t>5</w:t>
      </w:r>
      <w:r w:rsidRPr="00622655">
        <w:rPr>
          <w:rFonts w:ascii="Times New Roman" w:hAnsi="Times New Roman"/>
          <w:lang w:val="bg-BG"/>
        </w:rPr>
        <w:fldChar w:fldCharType="end"/>
      </w:r>
      <w:r w:rsidRPr="00622655">
        <w:rPr>
          <w:rFonts w:ascii="Times New Roman" w:hAnsi="Times New Roman"/>
          <w:lang w:val="bg-BG"/>
        </w:rPr>
        <w:t xml:space="preserve"> Специализация на базата на кодовете за типовете земеделие (TF) в рамките на Общностната типология (</w:t>
      </w:r>
      <w:r w:rsidRPr="00622655">
        <w:rPr>
          <w:rFonts w:ascii="Times New Roman" w:hAnsi="Times New Roman"/>
          <w:i/>
          <w:lang w:val="bg-BG"/>
        </w:rPr>
        <w:t>Регламент 85/377/ЕИО</w:t>
      </w:r>
      <w:r w:rsidRPr="00622655">
        <w:rPr>
          <w:rFonts w:ascii="Times New Roman" w:hAnsi="Times New Roman"/>
          <w:lang w:val="bg-BG"/>
        </w:rPr>
        <w:t>)</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B72E11" w:rsidRPr="00622655" w14:paraId="53D3CDED" w14:textId="77777777" w:rsidTr="00BA1CD0">
        <w:tc>
          <w:tcPr>
            <w:tcW w:w="4675" w:type="dxa"/>
          </w:tcPr>
          <w:p w14:paraId="01EF9FC6" w14:textId="77777777"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t>Описание</w:t>
            </w:r>
          </w:p>
        </w:tc>
        <w:tc>
          <w:tcPr>
            <w:tcW w:w="4675" w:type="dxa"/>
          </w:tcPr>
          <w:p w14:paraId="60D12DB8" w14:textId="77777777"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t>Групиране на типовете земеделие (TF) на базата на основните видове земеделска дейност</w:t>
            </w:r>
          </w:p>
        </w:tc>
      </w:tr>
      <w:tr w:rsidR="00B72E11" w:rsidRPr="00622655" w14:paraId="383942E8" w14:textId="77777777" w:rsidTr="00BA1CD0">
        <w:tc>
          <w:tcPr>
            <w:tcW w:w="4675" w:type="dxa"/>
          </w:tcPr>
          <w:p w14:paraId="7F8FE505" w14:textId="77777777"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t>Полски култури (Field Crops)</w:t>
            </w:r>
          </w:p>
        </w:tc>
        <w:tc>
          <w:tcPr>
            <w:tcW w:w="4675" w:type="dxa"/>
          </w:tcPr>
          <w:p w14:paraId="4E51EE8C"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стопанства, специализирани в отглеждането на зърнени, маслодайни и протеинови култури, както и такива със смесени полски култури.</w:t>
            </w:r>
          </w:p>
        </w:tc>
      </w:tr>
      <w:tr w:rsidR="00B72E11" w:rsidRPr="00622655" w14:paraId="502FF402" w14:textId="77777777" w:rsidTr="00BA1CD0">
        <w:tc>
          <w:tcPr>
            <w:tcW w:w="4675" w:type="dxa"/>
          </w:tcPr>
          <w:p w14:paraId="07C89427" w14:textId="77777777"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t>Градинарство (Horticulture)</w:t>
            </w:r>
          </w:p>
        </w:tc>
        <w:tc>
          <w:tcPr>
            <w:tcW w:w="4675" w:type="dxa"/>
          </w:tcPr>
          <w:p w14:paraId="34E855CA"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стопанства, специализирани в интензивно производство на зеленчуци, цветя и декоративни растения, които често използват оранжерии и напоителни технологии.</w:t>
            </w:r>
          </w:p>
        </w:tc>
      </w:tr>
      <w:tr w:rsidR="00B72E11" w:rsidRPr="00622655" w14:paraId="28ADB3AA" w14:textId="77777777" w:rsidTr="00BA1CD0">
        <w:tc>
          <w:tcPr>
            <w:tcW w:w="4675" w:type="dxa"/>
          </w:tcPr>
          <w:p w14:paraId="5AB0D175" w14:textId="6BC804BB"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t>Лозя и вино</w:t>
            </w:r>
            <w:r w:rsidR="00EF63FF">
              <w:rPr>
                <w:rFonts w:ascii="Times New Roman" w:hAnsi="Times New Roman"/>
                <w:b/>
                <w:lang w:val="bg-BG"/>
              </w:rPr>
              <w:t>/ Лозарство</w:t>
            </w:r>
            <w:r w:rsidRPr="00622655">
              <w:rPr>
                <w:rFonts w:ascii="Times New Roman" w:hAnsi="Times New Roman"/>
                <w:b/>
                <w:lang w:val="bg-BG"/>
              </w:rPr>
              <w:t xml:space="preserve"> (Wine)</w:t>
            </w:r>
          </w:p>
        </w:tc>
        <w:tc>
          <w:tcPr>
            <w:tcW w:w="4675" w:type="dxa"/>
          </w:tcPr>
          <w:p w14:paraId="4C606273"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стопанства специализирани в отглеждането на лозя и производството на вино</w:t>
            </w:r>
          </w:p>
        </w:tc>
      </w:tr>
      <w:tr w:rsidR="00B72E11" w:rsidRPr="00622655" w14:paraId="2C1804A3" w14:textId="77777777" w:rsidTr="00BA1CD0">
        <w:tc>
          <w:tcPr>
            <w:tcW w:w="4675" w:type="dxa"/>
          </w:tcPr>
          <w:p w14:paraId="2AD24B17" w14:textId="77777777"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t>Други трайни насаждения (Other Permanent Crops)</w:t>
            </w:r>
          </w:p>
        </w:tc>
        <w:tc>
          <w:tcPr>
            <w:tcW w:w="4675" w:type="dxa"/>
          </w:tcPr>
          <w:p w14:paraId="60976C06"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 xml:space="preserve">стопанства които се фокусират върху дълготрайни насаждения, като овощни </w:t>
            </w:r>
            <w:r w:rsidRPr="00622655">
              <w:rPr>
                <w:rFonts w:ascii="Times New Roman" w:hAnsi="Times New Roman"/>
                <w:lang w:val="bg-BG"/>
              </w:rPr>
              <w:lastRenderedPageBreak/>
              <w:t>градини, цитрусови плодове и маслинови насаждения.</w:t>
            </w:r>
          </w:p>
        </w:tc>
      </w:tr>
      <w:tr w:rsidR="00B72E11" w:rsidRPr="00622655" w14:paraId="5EF01704" w14:textId="77777777" w:rsidTr="00BA1CD0">
        <w:tc>
          <w:tcPr>
            <w:tcW w:w="4675" w:type="dxa"/>
          </w:tcPr>
          <w:p w14:paraId="3076AE9E" w14:textId="77777777"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lastRenderedPageBreak/>
              <w:t>Млечно животновъдство (Milk)</w:t>
            </w:r>
          </w:p>
        </w:tc>
        <w:tc>
          <w:tcPr>
            <w:tcW w:w="4675" w:type="dxa"/>
          </w:tcPr>
          <w:p w14:paraId="5415AF3A"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стопанства, които се фокусират върху производство на мляко от крави, кози или овце.</w:t>
            </w:r>
          </w:p>
        </w:tc>
      </w:tr>
      <w:tr w:rsidR="00B72E11" w:rsidRPr="00622655" w14:paraId="2BDA067F" w14:textId="77777777" w:rsidTr="00BA1CD0">
        <w:tc>
          <w:tcPr>
            <w:tcW w:w="4675" w:type="dxa"/>
          </w:tcPr>
          <w:p w14:paraId="3BAFD137" w14:textId="77777777"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t>Други пасищни животни (Other Grazing Livestock)</w:t>
            </w:r>
          </w:p>
        </w:tc>
        <w:tc>
          <w:tcPr>
            <w:tcW w:w="4675" w:type="dxa"/>
          </w:tcPr>
          <w:p w14:paraId="62F9FFDF"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стопанства, специализирани в отглеждането на пасищни животни като говеда, овце и кози.</w:t>
            </w:r>
          </w:p>
        </w:tc>
      </w:tr>
      <w:tr w:rsidR="00B72E11" w:rsidRPr="00622655" w14:paraId="042B35CB" w14:textId="77777777" w:rsidTr="00BA1CD0">
        <w:tc>
          <w:tcPr>
            <w:tcW w:w="4675" w:type="dxa"/>
          </w:tcPr>
          <w:p w14:paraId="663812F9" w14:textId="77777777"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t>Интензивно животновъдство (Granivores – Pigs and Poultry)</w:t>
            </w:r>
          </w:p>
        </w:tc>
        <w:tc>
          <w:tcPr>
            <w:tcW w:w="4675" w:type="dxa"/>
          </w:tcPr>
          <w:p w14:paraId="103CB653"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стопанства, които са специализирани в интензивно отглеждане на свине и птици.</w:t>
            </w:r>
          </w:p>
        </w:tc>
      </w:tr>
      <w:tr w:rsidR="00B72E11" w:rsidRPr="00622655" w14:paraId="50E4CBB5" w14:textId="77777777" w:rsidTr="00BA1CD0">
        <w:tc>
          <w:tcPr>
            <w:tcW w:w="4675" w:type="dxa"/>
          </w:tcPr>
          <w:p w14:paraId="08BB6399" w14:textId="77777777" w:rsidR="00B72E11" w:rsidRPr="00622655" w:rsidRDefault="00B72E11" w:rsidP="00BA1CD0">
            <w:pPr>
              <w:spacing w:line="360" w:lineRule="auto"/>
              <w:jc w:val="center"/>
              <w:rPr>
                <w:rFonts w:ascii="Times New Roman" w:hAnsi="Times New Roman"/>
                <w:b/>
                <w:lang w:val="bg-BG"/>
              </w:rPr>
            </w:pPr>
            <w:r w:rsidRPr="00622655">
              <w:rPr>
                <w:rFonts w:ascii="Times New Roman" w:hAnsi="Times New Roman"/>
                <w:b/>
                <w:lang w:val="bg-BG"/>
              </w:rPr>
              <w:t>Смесено земеделие (Mixed Farming)</w:t>
            </w:r>
          </w:p>
        </w:tc>
        <w:tc>
          <w:tcPr>
            <w:tcW w:w="4675" w:type="dxa"/>
          </w:tcPr>
          <w:p w14:paraId="17E89690" w14:textId="77777777" w:rsidR="00B72E11" w:rsidRPr="00622655" w:rsidRDefault="00B72E11" w:rsidP="00BA1CD0">
            <w:pPr>
              <w:spacing w:line="360" w:lineRule="auto"/>
              <w:jc w:val="center"/>
              <w:rPr>
                <w:rFonts w:ascii="Times New Roman" w:hAnsi="Times New Roman"/>
                <w:lang w:val="bg-BG"/>
              </w:rPr>
            </w:pPr>
            <w:r w:rsidRPr="00622655">
              <w:rPr>
                <w:rFonts w:ascii="Times New Roman" w:hAnsi="Times New Roman"/>
                <w:lang w:val="bg-BG"/>
              </w:rPr>
              <w:t>стопанства съчетаващи различни видове животновъдство и растениевъдство</w:t>
            </w:r>
          </w:p>
        </w:tc>
      </w:tr>
    </w:tbl>
    <w:p w14:paraId="7467BDD6" w14:textId="77777777" w:rsidR="00B72E11" w:rsidRPr="00622655" w:rsidRDefault="00B72E11" w:rsidP="00B72E11">
      <w:pPr>
        <w:spacing w:line="360" w:lineRule="auto"/>
        <w:jc w:val="center"/>
        <w:rPr>
          <w:rFonts w:ascii="Times New Roman" w:hAnsi="Times New Roman"/>
          <w:lang w:val="bg-BG"/>
        </w:rPr>
      </w:pPr>
      <w:r w:rsidRPr="00622655">
        <w:rPr>
          <w:rFonts w:ascii="Times New Roman" w:hAnsi="Times New Roman"/>
          <w:lang w:val="bg-BG"/>
        </w:rPr>
        <w:t xml:space="preserve">Източник: собствена схема, адаптирана от </w:t>
      </w:r>
      <w:r w:rsidRPr="00622655">
        <w:rPr>
          <w:rFonts w:ascii="Times New Roman" w:hAnsi="Times New Roman"/>
          <w:i/>
          <w:lang w:val="bg-BG"/>
        </w:rPr>
        <w:t>Регламент 85/377/ЕИО</w:t>
      </w:r>
    </w:p>
    <w:p w14:paraId="6253D8A2" w14:textId="571E8984" w:rsidR="00A3328A" w:rsidRPr="00A3328A" w:rsidRDefault="00A3328A" w:rsidP="002B1E55">
      <w:pPr>
        <w:spacing w:line="360" w:lineRule="auto"/>
        <w:jc w:val="both"/>
        <w:rPr>
          <w:rFonts w:ascii="Times New Roman" w:hAnsi="Times New Roman" w:cs="Times New Roman"/>
          <w:b/>
          <w:bCs/>
          <w:lang w:val="bg-BG"/>
        </w:rPr>
      </w:pPr>
      <w:r w:rsidRPr="00A3328A">
        <w:rPr>
          <w:rFonts w:ascii="Times New Roman" w:hAnsi="Times New Roman" w:cs="Times New Roman"/>
          <w:b/>
          <w:bCs/>
          <w:lang w:val="bg-BG"/>
        </w:rPr>
        <w:t>Теоретични основи  на икономическата и екологичната ефективност на земеделските стопанства</w:t>
      </w:r>
    </w:p>
    <w:p w14:paraId="5D037416" w14:textId="77777777" w:rsidR="00D72E88" w:rsidRDefault="00A3328A" w:rsidP="00D72E88">
      <w:pPr>
        <w:spacing w:line="360" w:lineRule="auto"/>
        <w:ind w:firstLine="720"/>
        <w:jc w:val="both"/>
        <w:rPr>
          <w:rFonts w:ascii="Times New Roman" w:hAnsi="Times New Roman" w:cs="Times New Roman"/>
          <w:lang w:val="bg-BG"/>
        </w:rPr>
      </w:pPr>
      <w:r w:rsidRPr="00A3328A">
        <w:rPr>
          <w:rFonts w:ascii="Times New Roman" w:hAnsi="Times New Roman" w:cs="Times New Roman"/>
          <w:lang w:val="bg-BG"/>
        </w:rPr>
        <w:t xml:space="preserve">В условията на засилващи се климатични промени, ограничени </w:t>
      </w:r>
      <w:r w:rsidR="00D72E88">
        <w:rPr>
          <w:rFonts w:ascii="Times New Roman" w:hAnsi="Times New Roman" w:cs="Times New Roman"/>
          <w:lang w:val="bg-BG"/>
        </w:rPr>
        <w:t>суровини</w:t>
      </w:r>
      <w:r w:rsidRPr="00A3328A">
        <w:rPr>
          <w:rFonts w:ascii="Times New Roman" w:hAnsi="Times New Roman" w:cs="Times New Roman"/>
          <w:lang w:val="bg-BG"/>
        </w:rPr>
        <w:t xml:space="preserve"> и нарастващи изисквания за устойчивост, способността на земеделските стопанства да постигат оптимални резултати при рационално използване на ресурсите придобива фундаментално значение. В дисертацията ефективността се разглежда като комплексна характеристика, която отразява взаимодействието между икономически, екологични и управленски фактори.</w:t>
      </w:r>
      <w:r w:rsidR="00D72E88">
        <w:rPr>
          <w:rFonts w:ascii="Times New Roman" w:hAnsi="Times New Roman" w:cs="Times New Roman"/>
          <w:lang w:val="bg-BG"/>
        </w:rPr>
        <w:t xml:space="preserve"> </w:t>
      </w:r>
      <w:r w:rsidRPr="00A3328A">
        <w:rPr>
          <w:rFonts w:ascii="Times New Roman" w:hAnsi="Times New Roman" w:cs="Times New Roman"/>
          <w:lang w:val="bg-BG"/>
        </w:rPr>
        <w:t xml:space="preserve">Икономическата ефективност се дефинира като съотношение между стойността на произведения продукт и разходите за неговото производство. Тази дефиниция позволява да се оцени доколко ефективно стопанството преобразува вложените ресурси (земя, труд, капитал, материали) в крайна продукция с висока стойност. В контекста на съвременното земеделие икономическата ефективност придобива особена важност, тъй като тя определя конкурентоспособността на стопанствата, тяхната рентабилност и способността им да генерират доходи за собствениците и заетите лица. В дисертацията се подчертава, че икономическата ефективност </w:t>
      </w:r>
      <w:r w:rsidR="00D72E88">
        <w:rPr>
          <w:rFonts w:ascii="Times New Roman" w:hAnsi="Times New Roman" w:cs="Times New Roman"/>
          <w:lang w:val="bg-BG"/>
        </w:rPr>
        <w:t>е</w:t>
      </w:r>
      <w:r w:rsidRPr="00A3328A">
        <w:rPr>
          <w:rFonts w:ascii="Times New Roman" w:hAnsi="Times New Roman" w:cs="Times New Roman"/>
          <w:lang w:val="bg-BG"/>
        </w:rPr>
        <w:t xml:space="preserve"> динамичен показател, който зависи от </w:t>
      </w:r>
      <w:r w:rsidRPr="00A3328A">
        <w:rPr>
          <w:rFonts w:ascii="Times New Roman" w:hAnsi="Times New Roman" w:cs="Times New Roman"/>
          <w:lang w:val="bg-BG"/>
        </w:rPr>
        <w:lastRenderedPageBreak/>
        <w:t>множество вътрешни и външни фактори, включително от прилаганите производствени практики, нивото на технологично развитие и пазарната конюнктура.</w:t>
      </w:r>
    </w:p>
    <w:p w14:paraId="20B07531" w14:textId="77777777" w:rsidR="00D72E88" w:rsidRDefault="00A3328A" w:rsidP="00D72E88">
      <w:pPr>
        <w:spacing w:line="360" w:lineRule="auto"/>
        <w:ind w:firstLine="720"/>
        <w:jc w:val="both"/>
        <w:rPr>
          <w:rFonts w:ascii="Times New Roman" w:hAnsi="Times New Roman" w:cs="Times New Roman"/>
          <w:lang w:val="bg-BG"/>
        </w:rPr>
      </w:pPr>
      <w:r w:rsidRPr="00A3328A">
        <w:rPr>
          <w:rFonts w:ascii="Times New Roman" w:hAnsi="Times New Roman" w:cs="Times New Roman"/>
          <w:lang w:val="bg-BG"/>
        </w:rPr>
        <w:t>Екологичната ефективност (eco-efficiency) се определя като съотношение между икономически резултат и екологичен натиск, предизвикан от производствената дейност. Тази дефиниция отразява съвременния стремеж към устойчиво развитие, при който икономическият растеж трябва да бъде постигнат с минимално отрицателно въздействие върху околната среда. В</w:t>
      </w:r>
      <w:r w:rsidR="00D72E88">
        <w:rPr>
          <w:rFonts w:ascii="Times New Roman" w:hAnsi="Times New Roman" w:cs="Times New Roman"/>
          <w:lang w:val="bg-BG"/>
        </w:rPr>
        <w:t xml:space="preserve"> контекста на разработката -</w:t>
      </w:r>
      <w:r w:rsidRPr="00A3328A">
        <w:rPr>
          <w:rFonts w:ascii="Times New Roman" w:hAnsi="Times New Roman" w:cs="Times New Roman"/>
          <w:lang w:val="bg-BG"/>
        </w:rPr>
        <w:t xml:space="preserve"> екол</w:t>
      </w:r>
      <w:r w:rsidR="00D72E88">
        <w:rPr>
          <w:rFonts w:ascii="Times New Roman" w:hAnsi="Times New Roman" w:cs="Times New Roman"/>
          <w:lang w:val="bg-BG"/>
        </w:rPr>
        <w:t>огичната</w:t>
      </w:r>
      <w:r w:rsidRPr="00A3328A">
        <w:rPr>
          <w:rFonts w:ascii="Times New Roman" w:hAnsi="Times New Roman" w:cs="Times New Roman"/>
          <w:lang w:val="bg-BG"/>
        </w:rPr>
        <w:t xml:space="preserve"> ефективност се разглежда като</w:t>
      </w:r>
      <w:r w:rsidR="00D72E88">
        <w:rPr>
          <w:rFonts w:ascii="Times New Roman" w:hAnsi="Times New Roman" w:cs="Times New Roman"/>
          <w:lang w:val="bg-BG"/>
        </w:rPr>
        <w:t xml:space="preserve"> </w:t>
      </w:r>
      <w:r w:rsidRPr="00A3328A">
        <w:rPr>
          <w:rFonts w:ascii="Times New Roman" w:hAnsi="Times New Roman" w:cs="Times New Roman"/>
          <w:lang w:val="bg-BG"/>
        </w:rPr>
        <w:t>показател за оценка на устойчивостта на земеделските стопанства, особено в контекста на Зелената сделка</w:t>
      </w:r>
      <w:r w:rsidR="00D72E88">
        <w:rPr>
          <w:rFonts w:ascii="Times New Roman" w:hAnsi="Times New Roman" w:cs="Times New Roman"/>
          <w:lang w:val="bg-BG"/>
        </w:rPr>
        <w:t xml:space="preserve">. </w:t>
      </w:r>
      <w:r w:rsidRPr="00A3328A">
        <w:rPr>
          <w:rFonts w:ascii="Times New Roman" w:hAnsi="Times New Roman" w:cs="Times New Roman"/>
          <w:lang w:val="bg-BG"/>
        </w:rPr>
        <w:t xml:space="preserve">Тези дефиниции и формули формират теоретичната основа на дисертационното изследване. Те позволяват </w:t>
      </w:r>
      <w:r w:rsidR="00D72E88">
        <w:rPr>
          <w:rFonts w:ascii="Times New Roman" w:hAnsi="Times New Roman" w:cs="Times New Roman"/>
          <w:lang w:val="bg-BG"/>
        </w:rPr>
        <w:t>както да се</w:t>
      </w:r>
      <w:r w:rsidRPr="00A3328A">
        <w:rPr>
          <w:rFonts w:ascii="Times New Roman" w:hAnsi="Times New Roman" w:cs="Times New Roman"/>
          <w:lang w:val="bg-BG"/>
        </w:rPr>
        <w:t xml:space="preserve"> анализира текущото състояние на ефективността на българските земеделски стопанства, </w:t>
      </w:r>
      <w:r w:rsidR="00D72E88">
        <w:rPr>
          <w:rFonts w:ascii="Times New Roman" w:hAnsi="Times New Roman" w:cs="Times New Roman"/>
          <w:lang w:val="bg-BG"/>
        </w:rPr>
        <w:t xml:space="preserve">така </w:t>
      </w:r>
      <w:r w:rsidRPr="00A3328A">
        <w:rPr>
          <w:rFonts w:ascii="Times New Roman" w:hAnsi="Times New Roman" w:cs="Times New Roman"/>
          <w:lang w:val="bg-BG"/>
        </w:rPr>
        <w:t xml:space="preserve">и да се оцени въздействието на различните устойчиви практики върху повишаването на икономическите резултати при едновременно намаляване на екологичния натиск. Именно чрез този интегриран подход </w:t>
      </w:r>
      <w:r w:rsidR="00D72E88">
        <w:rPr>
          <w:rFonts w:ascii="Times New Roman" w:hAnsi="Times New Roman" w:cs="Times New Roman"/>
          <w:lang w:val="bg-BG"/>
        </w:rPr>
        <w:t xml:space="preserve">изледването </w:t>
      </w:r>
      <w:r w:rsidRPr="00A3328A">
        <w:rPr>
          <w:rFonts w:ascii="Times New Roman" w:hAnsi="Times New Roman" w:cs="Times New Roman"/>
          <w:lang w:val="bg-BG"/>
        </w:rPr>
        <w:t>се стреми да отговори на предизвикателствата, които Зелената сделка поставя пред българското земеделие, и да предложи научно обосновани насоки за адаптация на стопанствата към новите изисквания.</w:t>
      </w:r>
    </w:p>
    <w:p w14:paraId="37958620" w14:textId="18FC4359" w:rsidR="002B1E55" w:rsidRPr="00D72E88" w:rsidRDefault="002B1E55" w:rsidP="00D72E88">
      <w:pPr>
        <w:spacing w:line="360" w:lineRule="auto"/>
        <w:jc w:val="both"/>
        <w:rPr>
          <w:rFonts w:ascii="Times New Roman" w:hAnsi="Times New Roman" w:cs="Times New Roman"/>
          <w:b/>
          <w:bCs/>
          <w:lang w:val="bg-BG"/>
        </w:rPr>
      </w:pPr>
      <w:r w:rsidRPr="00D72E88">
        <w:rPr>
          <w:rFonts w:ascii="Times New Roman" w:hAnsi="Times New Roman" w:cs="Times New Roman"/>
          <w:b/>
          <w:bCs/>
          <w:lang w:val="bg-BG"/>
        </w:rPr>
        <w:t>Изводи от Глава първа:</w:t>
      </w:r>
    </w:p>
    <w:p w14:paraId="0EC941F1" w14:textId="11F49D93" w:rsidR="002B1E55" w:rsidRPr="002B1E55" w:rsidRDefault="002B1E55" w:rsidP="00D72E88">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Първа глава на дисертационния труд изгражда теоретична и концептуална основа за изследването на икономическата и екологичната ефективност на земеделските стопанства в условията на Зелената сделка. Историческият преглед на икономическите теории показва еволюцията на разбирането за ролята на земята – от класическата концепция за рентата до съвременните модели на устойчиво развитие. Зелената сделка се разглежда като</w:t>
      </w:r>
      <w:r w:rsidR="00D72E88">
        <w:rPr>
          <w:rFonts w:ascii="Times New Roman" w:hAnsi="Times New Roman" w:cs="Times New Roman"/>
          <w:lang w:val="bg-BG"/>
        </w:rPr>
        <w:t xml:space="preserve"> парадигма,</w:t>
      </w:r>
      <w:r w:rsidRPr="002B1E55">
        <w:rPr>
          <w:rFonts w:ascii="Times New Roman" w:hAnsi="Times New Roman" w:cs="Times New Roman"/>
          <w:lang w:val="bg-BG"/>
        </w:rPr>
        <w:t xml:space="preserve"> която поставя икономическата и екологичната ефективност в центъра на бъдещото развитие на европейското земеделие. </w:t>
      </w:r>
    </w:p>
    <w:p w14:paraId="39456C69" w14:textId="60C6A00A" w:rsidR="002B1E55" w:rsidRPr="0037603C" w:rsidRDefault="002B1E55" w:rsidP="0037603C">
      <w:pPr>
        <w:pStyle w:val="Heading2"/>
        <w:rPr>
          <w:rFonts w:ascii="Times New Roman" w:hAnsi="Times New Roman" w:cs="Times New Roman"/>
          <w:b/>
          <w:bCs/>
          <w:color w:val="auto"/>
          <w:sz w:val="24"/>
          <w:szCs w:val="24"/>
          <w:lang w:val="bg-BG"/>
        </w:rPr>
      </w:pPr>
      <w:bookmarkStart w:id="7" w:name="_Toc229092800"/>
      <w:r w:rsidRPr="0037603C">
        <w:rPr>
          <w:rFonts w:ascii="Times New Roman" w:hAnsi="Times New Roman" w:cs="Times New Roman"/>
          <w:b/>
          <w:bCs/>
          <w:color w:val="auto"/>
          <w:sz w:val="24"/>
          <w:szCs w:val="24"/>
          <w:lang w:val="bg-BG"/>
        </w:rPr>
        <w:t>ГЛАВА ВТОРА: МЕТОДИЧЕСКИ ПОДХОДИ ЗА ОЦЕНКА НА ИКОНОМИЧЕСКАТА И ЕКОЛОГИЧНАТА ЕФЕКТИВНОСТ НА ЗЕМЕДЕЛСКИ СТОПАНСТВА В КОНТЕКСТА НА ЗЕЛЕНАТА СДЕЛКА</w:t>
      </w:r>
      <w:bookmarkEnd w:id="7"/>
    </w:p>
    <w:p w14:paraId="575DFBBC" w14:textId="2D5DFD8B" w:rsidR="002B1E55" w:rsidRPr="002B1E55" w:rsidRDefault="002B1E55" w:rsidP="002B1E55">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 xml:space="preserve">Във втора глава на дисертационния труд се разработва и обосновава интегриран методологичен инструментариум за комплексна оценка на икономическата и екологичната ефективност на българските земеделски стопанства в условията на Зелената сделка на </w:t>
      </w:r>
      <w:r w:rsidRPr="002B1E55">
        <w:rPr>
          <w:rFonts w:ascii="Times New Roman" w:hAnsi="Times New Roman" w:cs="Times New Roman"/>
          <w:lang w:val="bg-BG"/>
        </w:rPr>
        <w:lastRenderedPageBreak/>
        <w:t xml:space="preserve">Европейския съюз. Методологичният дизайн </w:t>
      </w:r>
      <w:r w:rsidR="00827F21">
        <w:rPr>
          <w:rFonts w:ascii="Times New Roman" w:hAnsi="Times New Roman" w:cs="Times New Roman"/>
          <w:lang w:val="bg-BG"/>
        </w:rPr>
        <w:t>е холистичен</w:t>
      </w:r>
      <w:r w:rsidRPr="002B1E55">
        <w:rPr>
          <w:rFonts w:ascii="Times New Roman" w:hAnsi="Times New Roman" w:cs="Times New Roman"/>
          <w:lang w:val="bg-BG"/>
        </w:rPr>
        <w:t>, съчетаващ количествени и качествени подходи, с цел повишаване на валидността и надеждността на получените резултати. Както подчертава Creswell и Plano Clark (2017), смесеният методологичен дизайн позволява по-дълбоко разбиране на изследователския проблем чрез комбиниране данни</w:t>
      </w:r>
      <w:r w:rsidR="00827F21">
        <w:rPr>
          <w:rFonts w:ascii="Times New Roman" w:hAnsi="Times New Roman" w:cs="Times New Roman"/>
          <w:lang w:val="bg-BG"/>
        </w:rPr>
        <w:t xml:space="preserve"> с различен характер</w:t>
      </w:r>
      <w:r w:rsidRPr="002B1E55">
        <w:rPr>
          <w:rFonts w:ascii="Times New Roman" w:hAnsi="Times New Roman" w:cs="Times New Roman"/>
          <w:lang w:val="bg-BG"/>
        </w:rPr>
        <w:t>. Изборът на изследователски инструменти е продиктуван от необходимостта да се обхване хетерогенността на българския аграрен сектор по размер, специализация и производствен модел, както и да се оцени въздействието на устойчивите практики върху ефективността при отчитане на регулаторните изисквания на стратегията „От фермата до трапезата“ (European Commission, 2019a).</w:t>
      </w:r>
    </w:p>
    <w:p w14:paraId="4B8F31D7" w14:textId="77777777" w:rsidR="002B1E55" w:rsidRPr="002B1E55" w:rsidRDefault="002B1E55" w:rsidP="002B1E55">
      <w:pPr>
        <w:spacing w:line="360" w:lineRule="auto"/>
        <w:jc w:val="both"/>
        <w:rPr>
          <w:rFonts w:ascii="Times New Roman" w:hAnsi="Times New Roman" w:cs="Times New Roman"/>
          <w:lang w:val="bg-BG"/>
        </w:rPr>
      </w:pPr>
      <w:r w:rsidRPr="002B1E55">
        <w:rPr>
          <w:rFonts w:ascii="Times New Roman" w:hAnsi="Times New Roman" w:cs="Times New Roman"/>
          <w:lang w:val="bg-BG"/>
        </w:rPr>
        <w:t>Методологичната рамка на изследването е систематизирана в следната таблица:</w:t>
      </w:r>
    </w:p>
    <w:p w14:paraId="0AEBBF33" w14:textId="77777777" w:rsidR="00827F21" w:rsidRPr="00C56D38" w:rsidRDefault="00827F21" w:rsidP="00827F21">
      <w:pPr>
        <w:spacing w:line="360" w:lineRule="auto"/>
        <w:jc w:val="center"/>
        <w:rPr>
          <w:rFonts w:ascii="Times New Roman" w:hAnsi="Times New Roman"/>
        </w:rPr>
      </w:pPr>
      <w:bookmarkStart w:id="8" w:name="_Toc228919016"/>
      <w:r w:rsidRPr="007E0E98">
        <w:rPr>
          <w:rFonts w:ascii="Times New Roman" w:hAnsi="Times New Roman"/>
          <w:lang w:val="bg-BG"/>
        </w:rPr>
        <w:t xml:space="preserve">Таблица </w:t>
      </w:r>
      <w:r w:rsidRPr="007E0E98">
        <w:rPr>
          <w:rFonts w:ascii="Times New Roman" w:hAnsi="Times New Roman"/>
          <w:lang w:val="bg-BG"/>
        </w:rPr>
        <w:fldChar w:fldCharType="begin"/>
      </w:r>
      <w:r w:rsidRPr="007E0E98">
        <w:rPr>
          <w:rFonts w:ascii="Times New Roman" w:hAnsi="Times New Roman"/>
          <w:lang w:val="bg-BG"/>
        </w:rPr>
        <w:instrText xml:space="preserve"> SEQ Таблица \* ARABIC </w:instrText>
      </w:r>
      <w:r w:rsidRPr="007E0E98">
        <w:rPr>
          <w:rFonts w:ascii="Times New Roman" w:hAnsi="Times New Roman"/>
          <w:lang w:val="bg-BG"/>
        </w:rPr>
        <w:fldChar w:fldCharType="separate"/>
      </w:r>
      <w:r>
        <w:rPr>
          <w:rFonts w:ascii="Times New Roman" w:hAnsi="Times New Roman"/>
          <w:noProof/>
          <w:lang w:val="bg-BG"/>
        </w:rPr>
        <w:t>7</w:t>
      </w:r>
      <w:r w:rsidRPr="007E0E98">
        <w:rPr>
          <w:rFonts w:ascii="Times New Roman" w:hAnsi="Times New Roman"/>
          <w:lang w:val="bg-BG"/>
        </w:rPr>
        <w:fldChar w:fldCharType="end"/>
      </w:r>
      <w:r w:rsidRPr="007E0E98">
        <w:rPr>
          <w:rFonts w:ascii="Times New Roman" w:hAnsi="Times New Roman"/>
          <w:lang w:val="bg-BG"/>
        </w:rPr>
        <w:t xml:space="preserve"> Методологическа рамка на изследването</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827F21" w:rsidRPr="006C3185" w14:paraId="20FE8CAB" w14:textId="77777777" w:rsidTr="00BA1CD0">
        <w:tc>
          <w:tcPr>
            <w:tcW w:w="3116" w:type="dxa"/>
            <w:vAlign w:val="center"/>
          </w:tcPr>
          <w:p w14:paraId="1112C1AD" w14:textId="77777777" w:rsidR="00827F21" w:rsidRPr="006C3185" w:rsidRDefault="00827F21" w:rsidP="00BA1CD0">
            <w:pPr>
              <w:spacing w:line="360" w:lineRule="auto"/>
              <w:rPr>
                <w:rFonts w:ascii="Times New Roman" w:hAnsi="Times New Roman"/>
                <w:b/>
              </w:rPr>
            </w:pPr>
            <w:r w:rsidRPr="006C3185">
              <w:rPr>
                <w:rFonts w:ascii="Times New Roman" w:hAnsi="Times New Roman"/>
                <w:b/>
              </w:rPr>
              <w:t>Изследователска задача</w:t>
            </w:r>
          </w:p>
        </w:tc>
        <w:tc>
          <w:tcPr>
            <w:tcW w:w="3117" w:type="dxa"/>
            <w:vAlign w:val="center"/>
          </w:tcPr>
          <w:p w14:paraId="179CBB87" w14:textId="77777777" w:rsidR="00827F21" w:rsidRPr="006C3185" w:rsidRDefault="00827F21" w:rsidP="00BA1CD0">
            <w:pPr>
              <w:spacing w:line="360" w:lineRule="auto"/>
              <w:rPr>
                <w:rFonts w:ascii="Times New Roman" w:hAnsi="Times New Roman"/>
                <w:b/>
              </w:rPr>
            </w:pPr>
            <w:r w:rsidRPr="006C3185">
              <w:rPr>
                <w:rFonts w:ascii="Times New Roman" w:hAnsi="Times New Roman"/>
                <w:b/>
              </w:rPr>
              <w:t>Използвани методи</w:t>
            </w:r>
          </w:p>
        </w:tc>
        <w:tc>
          <w:tcPr>
            <w:tcW w:w="3117" w:type="dxa"/>
            <w:vAlign w:val="center"/>
          </w:tcPr>
          <w:p w14:paraId="72D2EDED"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b/>
                <w:lang w:val="bg-BG"/>
              </w:rPr>
              <w:t>Параметри за интерпретация</w:t>
            </w:r>
          </w:p>
        </w:tc>
      </w:tr>
      <w:tr w:rsidR="00827F21" w:rsidRPr="006C3185" w14:paraId="4D6E41EC" w14:textId="77777777" w:rsidTr="00BA1CD0">
        <w:tc>
          <w:tcPr>
            <w:tcW w:w="3116" w:type="dxa"/>
            <w:vAlign w:val="center"/>
          </w:tcPr>
          <w:p w14:paraId="6067416E" w14:textId="77777777" w:rsidR="00827F21" w:rsidRPr="006C3185" w:rsidRDefault="00827F21" w:rsidP="00BA1CD0">
            <w:pPr>
              <w:spacing w:line="360" w:lineRule="auto"/>
              <w:rPr>
                <w:rFonts w:ascii="Times New Roman" w:hAnsi="Times New Roman"/>
                <w:b/>
                <w:lang w:val="bg-BG"/>
              </w:rPr>
            </w:pPr>
            <w:r w:rsidRPr="006C3185">
              <w:rPr>
                <w:rFonts w:ascii="Times New Roman" w:hAnsi="Times New Roman"/>
                <w:b/>
                <w:lang w:val="bg-BG"/>
              </w:rPr>
              <w:t>1. Изследване на нагласите и поведението на земеделските стопани към устойчиви практики</w:t>
            </w:r>
          </w:p>
        </w:tc>
        <w:tc>
          <w:tcPr>
            <w:tcW w:w="3117" w:type="dxa"/>
            <w:vAlign w:val="center"/>
          </w:tcPr>
          <w:p w14:paraId="7445F379"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t xml:space="preserve">Анкетно проучване сред земеделски стопани от шест </w:t>
            </w:r>
            <w:r w:rsidRPr="0004520C">
              <w:rPr>
                <w:rFonts w:ascii="Times New Roman" w:hAnsi="Times New Roman"/>
                <w:i/>
                <w:iCs/>
              </w:rPr>
              <w:t>NUTS</w:t>
            </w:r>
            <w:r w:rsidRPr="0004520C">
              <w:rPr>
                <w:rFonts w:ascii="Times New Roman" w:hAnsi="Times New Roman"/>
                <w:i/>
                <w:iCs/>
                <w:lang w:val="bg-BG"/>
              </w:rPr>
              <w:t>-2</w:t>
            </w:r>
            <w:r w:rsidRPr="006C3185">
              <w:rPr>
                <w:rFonts w:ascii="Times New Roman" w:hAnsi="Times New Roman"/>
                <w:lang w:val="bg-BG"/>
              </w:rPr>
              <w:t xml:space="preserve"> региона и полуструктурирани фокус групи с тематичен анализ</w:t>
            </w:r>
          </w:p>
        </w:tc>
        <w:tc>
          <w:tcPr>
            <w:tcW w:w="3117" w:type="dxa"/>
            <w:vAlign w:val="center"/>
          </w:tcPr>
          <w:p w14:paraId="3A9A52FB"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t>Степен на информираност за Зелената сделка, готовност за адаптация, възприемани рискове и ползи, идентифицирани бариери</w:t>
            </w:r>
          </w:p>
        </w:tc>
      </w:tr>
      <w:tr w:rsidR="00827F21" w:rsidRPr="006C3185" w14:paraId="36CAE706" w14:textId="77777777" w:rsidTr="00BA1CD0">
        <w:tc>
          <w:tcPr>
            <w:tcW w:w="3116" w:type="dxa"/>
            <w:vAlign w:val="center"/>
          </w:tcPr>
          <w:p w14:paraId="19E3D34D" w14:textId="77777777" w:rsidR="00827F21" w:rsidRPr="006C3185" w:rsidRDefault="00827F21" w:rsidP="00BA1CD0">
            <w:pPr>
              <w:spacing w:line="360" w:lineRule="auto"/>
              <w:rPr>
                <w:rFonts w:ascii="Times New Roman" w:hAnsi="Times New Roman"/>
                <w:b/>
                <w:lang w:val="bg-BG"/>
              </w:rPr>
            </w:pPr>
            <w:r w:rsidRPr="006C3185">
              <w:rPr>
                <w:rFonts w:ascii="Times New Roman" w:hAnsi="Times New Roman"/>
                <w:b/>
                <w:lang w:val="bg-BG"/>
              </w:rPr>
              <w:t xml:space="preserve">2.Формулиране на </w:t>
            </w:r>
            <w:r w:rsidRPr="006C3185">
              <w:rPr>
                <w:rFonts w:ascii="Times New Roman" w:hAnsi="Times New Roman"/>
                <w:b/>
                <w:lang w:val="es-ES_tradnl"/>
              </w:rPr>
              <w:t>SWOT</w:t>
            </w:r>
            <w:r w:rsidRPr="006C3185">
              <w:rPr>
                <w:rFonts w:ascii="Times New Roman" w:hAnsi="Times New Roman"/>
                <w:b/>
                <w:lang w:val="bg-BG"/>
              </w:rPr>
              <w:t xml:space="preserve"> матрица за адаптация на земеделските стопанства към Зелената сделка</w:t>
            </w:r>
          </w:p>
        </w:tc>
        <w:tc>
          <w:tcPr>
            <w:tcW w:w="3117" w:type="dxa"/>
            <w:vAlign w:val="center"/>
          </w:tcPr>
          <w:p w14:paraId="542DFF46"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t xml:space="preserve">Синтез на количествени и качествени данни и </w:t>
            </w:r>
            <w:r w:rsidRPr="006C3185">
              <w:rPr>
                <w:rFonts w:ascii="Times New Roman" w:hAnsi="Times New Roman"/>
              </w:rPr>
              <w:t>SWOT</w:t>
            </w:r>
            <w:r w:rsidRPr="006C3185">
              <w:rPr>
                <w:rFonts w:ascii="Times New Roman" w:hAnsi="Times New Roman"/>
                <w:lang w:val="bg-BG"/>
              </w:rPr>
              <w:t xml:space="preserve"> анализ с експертна валидация</w:t>
            </w:r>
          </w:p>
        </w:tc>
        <w:tc>
          <w:tcPr>
            <w:tcW w:w="3117" w:type="dxa"/>
            <w:vAlign w:val="center"/>
          </w:tcPr>
          <w:p w14:paraId="03A6F328"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t>Сили, слабаби страни, възможности и заплахи, сценарии за адаптация, адаптивен потенциал по тип стопанства</w:t>
            </w:r>
          </w:p>
        </w:tc>
      </w:tr>
      <w:tr w:rsidR="00827F21" w:rsidRPr="006C3185" w14:paraId="20AF7EC6" w14:textId="77777777" w:rsidTr="00BA1CD0">
        <w:tc>
          <w:tcPr>
            <w:tcW w:w="3116" w:type="dxa"/>
            <w:vAlign w:val="center"/>
          </w:tcPr>
          <w:p w14:paraId="210DB270" w14:textId="77777777" w:rsidR="00827F21" w:rsidRPr="006C3185" w:rsidRDefault="00827F21" w:rsidP="00BA1CD0">
            <w:pPr>
              <w:spacing w:line="360" w:lineRule="auto"/>
              <w:rPr>
                <w:rFonts w:ascii="Times New Roman" w:hAnsi="Times New Roman"/>
                <w:b/>
                <w:lang w:val="bg-BG"/>
              </w:rPr>
            </w:pPr>
            <w:r w:rsidRPr="006C3185">
              <w:rPr>
                <w:rFonts w:ascii="Times New Roman" w:hAnsi="Times New Roman"/>
                <w:b/>
                <w:lang w:val="bg-BG"/>
              </w:rPr>
              <w:t>3.Провеждане на казусни изследвания в реални земеделски стопанства</w:t>
            </w:r>
          </w:p>
        </w:tc>
        <w:tc>
          <w:tcPr>
            <w:tcW w:w="3117" w:type="dxa"/>
            <w:vAlign w:val="center"/>
          </w:tcPr>
          <w:p w14:paraId="258343B0"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t xml:space="preserve">Казусни изследвания в три стопанства с различен размер и специализация и контрафактуално сравнение </w:t>
            </w:r>
            <w:r w:rsidRPr="006C3185">
              <w:rPr>
                <w:rFonts w:ascii="Times New Roman" w:hAnsi="Times New Roman"/>
                <w:lang w:val="bg-BG"/>
              </w:rPr>
              <w:lastRenderedPageBreak/>
              <w:t>между режим с устойчиви и конвенционални практики</w:t>
            </w:r>
          </w:p>
        </w:tc>
        <w:tc>
          <w:tcPr>
            <w:tcW w:w="3117" w:type="dxa"/>
            <w:vAlign w:val="center"/>
          </w:tcPr>
          <w:p w14:paraId="37C877FA"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lastRenderedPageBreak/>
              <w:t>Добиви, стойност на продукцията, производствени разходи</w:t>
            </w:r>
            <w:r>
              <w:rPr>
                <w:rFonts w:ascii="Times New Roman" w:hAnsi="Times New Roman"/>
                <w:lang w:val="bg-BG"/>
              </w:rPr>
              <w:t xml:space="preserve"> </w:t>
            </w:r>
            <w:r w:rsidRPr="006C3185">
              <w:rPr>
                <w:rFonts w:ascii="Times New Roman" w:hAnsi="Times New Roman"/>
                <w:lang w:val="bg-BG"/>
              </w:rPr>
              <w:t>и др.</w:t>
            </w:r>
          </w:p>
        </w:tc>
      </w:tr>
      <w:tr w:rsidR="00827F21" w:rsidRPr="006C3185" w14:paraId="1E659F35" w14:textId="77777777" w:rsidTr="00BA1CD0">
        <w:tc>
          <w:tcPr>
            <w:tcW w:w="3116" w:type="dxa"/>
            <w:vAlign w:val="center"/>
          </w:tcPr>
          <w:p w14:paraId="079F3A50" w14:textId="77777777" w:rsidR="00827F21" w:rsidRPr="006C3185" w:rsidRDefault="00827F21" w:rsidP="00BA1CD0">
            <w:pPr>
              <w:spacing w:line="360" w:lineRule="auto"/>
              <w:rPr>
                <w:rFonts w:ascii="Times New Roman" w:hAnsi="Times New Roman"/>
                <w:b/>
                <w:lang w:val="bg-BG"/>
              </w:rPr>
            </w:pPr>
            <w:r w:rsidRPr="006C3185">
              <w:rPr>
                <w:rFonts w:ascii="Times New Roman" w:hAnsi="Times New Roman"/>
                <w:b/>
                <w:lang w:val="bg-BG"/>
              </w:rPr>
              <w:t>4.Измерване на икономическата ефективност на устойчивите практики</w:t>
            </w:r>
          </w:p>
        </w:tc>
        <w:tc>
          <w:tcPr>
            <w:tcW w:w="3117" w:type="dxa"/>
            <w:vAlign w:val="center"/>
          </w:tcPr>
          <w:p w14:paraId="028CD460"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t xml:space="preserve">Метод на </w:t>
            </w:r>
            <w:r>
              <w:rPr>
                <w:rFonts w:ascii="Times New Roman" w:hAnsi="Times New Roman"/>
                <w:lang w:val="bg-BG"/>
              </w:rPr>
              <w:t>ОСО</w:t>
            </w:r>
            <w:r w:rsidRPr="006C3185">
              <w:rPr>
                <w:rFonts w:ascii="Times New Roman" w:hAnsi="Times New Roman"/>
                <w:lang w:val="bg-BG"/>
              </w:rPr>
              <w:t xml:space="preserve"> и вариационен анализ между кампании</w:t>
            </w:r>
          </w:p>
        </w:tc>
        <w:tc>
          <w:tcPr>
            <w:tcW w:w="3117" w:type="dxa"/>
            <w:vAlign w:val="center"/>
          </w:tcPr>
          <w:p w14:paraId="6FBC1B06"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t>Съотношение продукция–разходи, производителност на земята, производителност на труда, ефективност на капитала и др.</w:t>
            </w:r>
          </w:p>
        </w:tc>
      </w:tr>
      <w:tr w:rsidR="00827F21" w:rsidRPr="006C3185" w14:paraId="3522FABC" w14:textId="77777777" w:rsidTr="00BA1CD0">
        <w:tc>
          <w:tcPr>
            <w:tcW w:w="3116" w:type="dxa"/>
            <w:vAlign w:val="center"/>
          </w:tcPr>
          <w:p w14:paraId="3B997F8F" w14:textId="77777777" w:rsidR="00827F21" w:rsidRPr="006C3185" w:rsidRDefault="00827F21" w:rsidP="00BA1CD0">
            <w:pPr>
              <w:spacing w:line="360" w:lineRule="auto"/>
              <w:rPr>
                <w:rFonts w:ascii="Times New Roman" w:hAnsi="Times New Roman"/>
                <w:b/>
                <w:lang w:val="bg-BG"/>
              </w:rPr>
            </w:pPr>
            <w:r w:rsidRPr="006C3185">
              <w:rPr>
                <w:rFonts w:ascii="Times New Roman" w:hAnsi="Times New Roman"/>
                <w:b/>
                <w:lang w:val="bg-BG"/>
              </w:rPr>
              <w:t>5.Измерване на екологичното въздействие и екологичното представяне</w:t>
            </w:r>
          </w:p>
        </w:tc>
        <w:tc>
          <w:tcPr>
            <w:tcW w:w="3117" w:type="dxa"/>
            <w:vAlign w:val="center"/>
          </w:tcPr>
          <w:p w14:paraId="0ABF597C"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rPr>
              <w:t>Farm</w:t>
            </w:r>
            <w:r w:rsidRPr="006C3185">
              <w:rPr>
                <w:rFonts w:ascii="Times New Roman" w:hAnsi="Times New Roman"/>
                <w:lang w:val="bg-BG"/>
              </w:rPr>
              <w:t>-</w:t>
            </w:r>
            <w:r w:rsidRPr="006C3185">
              <w:rPr>
                <w:rFonts w:ascii="Times New Roman" w:hAnsi="Times New Roman"/>
              </w:rPr>
              <w:t>gate</w:t>
            </w:r>
            <w:r w:rsidRPr="006C3185">
              <w:rPr>
                <w:rFonts w:ascii="Times New Roman" w:hAnsi="Times New Roman"/>
                <w:lang w:val="bg-BG"/>
              </w:rPr>
              <w:t xml:space="preserve"> анализ </w:t>
            </w:r>
          </w:p>
        </w:tc>
        <w:tc>
          <w:tcPr>
            <w:tcW w:w="3117" w:type="dxa"/>
            <w:vAlign w:val="center"/>
          </w:tcPr>
          <w:p w14:paraId="69D896ED"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t>Интензивност на използване на азотни торове, разходи за продукти за растителна защита, специфични разходи в животновъдството, употреба на пестициди, употреба на азот, продажби на антимикробни средства и др.</w:t>
            </w:r>
          </w:p>
        </w:tc>
      </w:tr>
      <w:tr w:rsidR="00827F21" w:rsidRPr="006C3185" w14:paraId="2281324B" w14:textId="77777777" w:rsidTr="00BA1CD0">
        <w:tc>
          <w:tcPr>
            <w:tcW w:w="3116" w:type="dxa"/>
            <w:vAlign w:val="center"/>
          </w:tcPr>
          <w:p w14:paraId="19F9C2B6" w14:textId="77777777" w:rsidR="00827F21" w:rsidRPr="006C3185" w:rsidRDefault="00827F21" w:rsidP="00BA1CD0">
            <w:pPr>
              <w:spacing w:line="360" w:lineRule="auto"/>
              <w:rPr>
                <w:rFonts w:ascii="Times New Roman" w:hAnsi="Times New Roman"/>
                <w:b/>
                <w:lang w:val="bg-BG"/>
              </w:rPr>
            </w:pPr>
            <w:r w:rsidRPr="006C3185">
              <w:rPr>
                <w:rFonts w:ascii="Times New Roman" w:hAnsi="Times New Roman"/>
                <w:b/>
                <w:lang w:val="bg-BG"/>
              </w:rPr>
              <w:t>6.Измерване на екологичната ефективност на устойчивите практики</w:t>
            </w:r>
          </w:p>
        </w:tc>
        <w:tc>
          <w:tcPr>
            <w:tcW w:w="3117" w:type="dxa"/>
            <w:vAlign w:val="center"/>
          </w:tcPr>
          <w:p w14:paraId="1DAF6D60" w14:textId="77777777" w:rsidR="00827F21" w:rsidRPr="006C3185" w:rsidRDefault="00827F21" w:rsidP="00BA1CD0">
            <w:pPr>
              <w:spacing w:line="360" w:lineRule="auto"/>
              <w:rPr>
                <w:rFonts w:ascii="Times New Roman" w:hAnsi="Times New Roman"/>
                <w:lang w:val="bg-BG"/>
              </w:rPr>
            </w:pPr>
            <w:r w:rsidRPr="0004520C">
              <w:rPr>
                <w:rFonts w:ascii="Times New Roman" w:hAnsi="Times New Roman"/>
                <w:i/>
                <w:iCs/>
              </w:rPr>
              <w:t>Eco</w:t>
            </w:r>
            <w:r w:rsidRPr="0004520C">
              <w:rPr>
                <w:rFonts w:ascii="Times New Roman" w:hAnsi="Times New Roman"/>
                <w:i/>
                <w:iCs/>
                <w:lang w:val="bg-BG"/>
              </w:rPr>
              <w:t>-</w:t>
            </w:r>
            <w:r w:rsidRPr="0004520C">
              <w:rPr>
                <w:rFonts w:ascii="Times New Roman" w:hAnsi="Times New Roman"/>
                <w:i/>
                <w:iCs/>
              </w:rPr>
              <w:t>efficiency</w:t>
            </w:r>
            <w:r w:rsidRPr="006C3185">
              <w:rPr>
                <w:rFonts w:ascii="Times New Roman" w:hAnsi="Times New Roman"/>
                <w:lang w:val="bg-BG"/>
              </w:rPr>
              <w:t xml:space="preserve"> подход и контрафактуално сравнение</w:t>
            </w:r>
          </w:p>
        </w:tc>
        <w:tc>
          <w:tcPr>
            <w:tcW w:w="3117" w:type="dxa"/>
            <w:vAlign w:val="center"/>
          </w:tcPr>
          <w:p w14:paraId="6E03CA9F"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t>Съпоставяне на икономическия резултат със степента на екологичен натиск по функционални единици хектар и тон продукция</w:t>
            </w:r>
          </w:p>
        </w:tc>
      </w:tr>
      <w:tr w:rsidR="00827F21" w:rsidRPr="006C3185" w14:paraId="6CB725AC" w14:textId="77777777" w:rsidTr="00BA1CD0">
        <w:tc>
          <w:tcPr>
            <w:tcW w:w="3116" w:type="dxa"/>
            <w:vAlign w:val="center"/>
          </w:tcPr>
          <w:p w14:paraId="51733CE3" w14:textId="77777777" w:rsidR="00827F21" w:rsidRPr="006C3185" w:rsidRDefault="00827F21" w:rsidP="00BA1CD0">
            <w:pPr>
              <w:spacing w:line="360" w:lineRule="auto"/>
              <w:rPr>
                <w:rFonts w:ascii="Times New Roman" w:hAnsi="Times New Roman"/>
                <w:b/>
                <w:lang w:val="bg-BG"/>
              </w:rPr>
            </w:pPr>
            <w:r w:rsidRPr="006C3185">
              <w:rPr>
                <w:rFonts w:ascii="Times New Roman" w:hAnsi="Times New Roman"/>
                <w:b/>
                <w:lang w:val="bg-BG"/>
              </w:rPr>
              <w:t>7.Интерпретация на икономическата и екологичната ефективност</w:t>
            </w:r>
          </w:p>
        </w:tc>
        <w:tc>
          <w:tcPr>
            <w:tcW w:w="3117" w:type="dxa"/>
            <w:vAlign w:val="center"/>
          </w:tcPr>
          <w:p w14:paraId="4CF3C1E8"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t>Съпоставителен анализ в рамките на казусните изследвания</w:t>
            </w:r>
          </w:p>
        </w:tc>
        <w:tc>
          <w:tcPr>
            <w:tcW w:w="3117" w:type="dxa"/>
            <w:vAlign w:val="center"/>
          </w:tcPr>
          <w:p w14:paraId="3E62BB45" w14:textId="77777777" w:rsidR="00827F21" w:rsidRPr="006C3185" w:rsidRDefault="00827F21" w:rsidP="00BA1CD0">
            <w:pPr>
              <w:spacing w:line="360" w:lineRule="auto"/>
              <w:rPr>
                <w:rFonts w:ascii="Times New Roman" w:hAnsi="Times New Roman"/>
                <w:lang w:val="bg-BG"/>
              </w:rPr>
            </w:pPr>
            <w:r w:rsidRPr="006C3185">
              <w:rPr>
                <w:rFonts w:ascii="Times New Roman" w:hAnsi="Times New Roman"/>
                <w:lang w:val="bg-BG"/>
              </w:rPr>
              <w:t>Идентифициране на практики с икономическа ефективност, екологична ефективност</w:t>
            </w:r>
          </w:p>
        </w:tc>
      </w:tr>
      <w:tr w:rsidR="00827F21" w:rsidRPr="006C3185" w14:paraId="2D52E469" w14:textId="77777777" w:rsidTr="00BA1CD0">
        <w:tc>
          <w:tcPr>
            <w:tcW w:w="3116" w:type="dxa"/>
            <w:vAlign w:val="center"/>
          </w:tcPr>
          <w:p w14:paraId="492D2EFF" w14:textId="77777777" w:rsidR="00827F21" w:rsidRPr="006C3185" w:rsidRDefault="00827F21" w:rsidP="00BA1CD0">
            <w:pPr>
              <w:spacing w:line="360" w:lineRule="auto"/>
              <w:rPr>
                <w:rFonts w:ascii="Times New Roman" w:hAnsi="Times New Roman"/>
                <w:b/>
                <w:lang w:val="bg-BG"/>
              </w:rPr>
            </w:pPr>
            <w:r>
              <w:rPr>
                <w:rFonts w:ascii="Times New Roman" w:hAnsi="Times New Roman"/>
                <w:b/>
                <w:lang w:val="bg-BG"/>
              </w:rPr>
              <w:lastRenderedPageBreak/>
              <w:t>8</w:t>
            </w:r>
            <w:r w:rsidRPr="00945F11">
              <w:rPr>
                <w:rFonts w:ascii="Times New Roman" w:hAnsi="Times New Roman"/>
                <w:b/>
                <w:lang w:val="bg-BG"/>
              </w:rPr>
              <w:t>. Моделиране на възможни изменения в ефективността при промяна в ресурсите с висок екологичен натиск</w:t>
            </w:r>
          </w:p>
        </w:tc>
        <w:tc>
          <w:tcPr>
            <w:tcW w:w="3117" w:type="dxa"/>
            <w:vAlign w:val="center"/>
          </w:tcPr>
          <w:p w14:paraId="6570BBAF" w14:textId="77777777" w:rsidR="00827F21" w:rsidRPr="006C3185" w:rsidRDefault="00827F21" w:rsidP="00BA1CD0">
            <w:pPr>
              <w:spacing w:line="360" w:lineRule="auto"/>
              <w:rPr>
                <w:rFonts w:ascii="Times New Roman" w:hAnsi="Times New Roman"/>
                <w:lang w:val="bg-BG"/>
              </w:rPr>
            </w:pPr>
            <w:r w:rsidRPr="00945F11">
              <w:rPr>
                <w:rFonts w:ascii="Times New Roman" w:hAnsi="Times New Roman"/>
                <w:lang w:val="bg-BG"/>
              </w:rPr>
              <w:t>Иконометрично моделиране със стохастичен и сценариен елемент, базирано на исторически редове</w:t>
            </w:r>
          </w:p>
        </w:tc>
        <w:tc>
          <w:tcPr>
            <w:tcW w:w="3117" w:type="dxa"/>
            <w:vAlign w:val="center"/>
          </w:tcPr>
          <w:p w14:paraId="30DD1A9E" w14:textId="77777777" w:rsidR="00827F21" w:rsidRPr="006C3185" w:rsidRDefault="00827F21" w:rsidP="00BA1CD0">
            <w:pPr>
              <w:spacing w:line="360" w:lineRule="auto"/>
              <w:rPr>
                <w:rFonts w:ascii="Times New Roman" w:hAnsi="Times New Roman"/>
                <w:lang w:val="bg-BG"/>
              </w:rPr>
            </w:pPr>
            <w:r w:rsidRPr="00945F11">
              <w:rPr>
                <w:rFonts w:ascii="Times New Roman" w:hAnsi="Times New Roman"/>
                <w:lang w:val="bg-BG"/>
              </w:rPr>
              <w:t>Тенденции в употребата на химически азотни торове и антибиотични средства; алтернативни сценарии до 2030 г.; чувствителност на икономическата и екологичната ефективност към регулаторни промени</w:t>
            </w:r>
          </w:p>
        </w:tc>
      </w:tr>
      <w:tr w:rsidR="00827F21" w:rsidRPr="006C3185" w14:paraId="4ECF73EB" w14:textId="77777777" w:rsidTr="00BA1CD0">
        <w:tc>
          <w:tcPr>
            <w:tcW w:w="3116" w:type="dxa"/>
            <w:vAlign w:val="center"/>
          </w:tcPr>
          <w:p w14:paraId="60114EC8" w14:textId="77777777" w:rsidR="00827F21" w:rsidRDefault="00827F21" w:rsidP="00BA1CD0">
            <w:pPr>
              <w:spacing w:line="360" w:lineRule="auto"/>
              <w:rPr>
                <w:rFonts w:ascii="Times New Roman" w:hAnsi="Times New Roman"/>
                <w:b/>
                <w:lang w:val="bg-BG"/>
              </w:rPr>
            </w:pPr>
            <w:r w:rsidRPr="000D6B2E">
              <w:rPr>
                <w:rFonts w:ascii="Times New Roman" w:hAnsi="Times New Roman"/>
                <w:b/>
                <w:lang w:val="bg-BG"/>
              </w:rPr>
              <w:t>Изследване на зависимостта между броя на стопанствата и употребата на минерални торове</w:t>
            </w:r>
          </w:p>
        </w:tc>
        <w:tc>
          <w:tcPr>
            <w:tcW w:w="3117" w:type="dxa"/>
            <w:vAlign w:val="center"/>
          </w:tcPr>
          <w:p w14:paraId="1308492B" w14:textId="77777777" w:rsidR="00827F21" w:rsidRPr="00945F11" w:rsidRDefault="00827F21" w:rsidP="00BA1CD0">
            <w:pPr>
              <w:spacing w:line="360" w:lineRule="auto"/>
              <w:rPr>
                <w:rFonts w:ascii="Times New Roman" w:hAnsi="Times New Roman"/>
                <w:lang w:val="bg-BG"/>
              </w:rPr>
            </w:pPr>
            <w:r w:rsidRPr="000D6B2E">
              <w:rPr>
                <w:rFonts w:ascii="Times New Roman" w:hAnsi="Times New Roman"/>
                <w:lang w:val="bg-BG"/>
              </w:rPr>
              <w:t>Корелационен и детерминационен анализ</w:t>
            </w:r>
          </w:p>
        </w:tc>
        <w:tc>
          <w:tcPr>
            <w:tcW w:w="3117" w:type="dxa"/>
            <w:vAlign w:val="center"/>
          </w:tcPr>
          <w:p w14:paraId="3FEBA96C" w14:textId="77777777" w:rsidR="00827F21" w:rsidRPr="00945F11" w:rsidRDefault="00827F21" w:rsidP="00BA1CD0">
            <w:pPr>
              <w:spacing w:line="360" w:lineRule="auto"/>
              <w:rPr>
                <w:rFonts w:ascii="Times New Roman" w:hAnsi="Times New Roman"/>
                <w:lang w:val="bg-BG"/>
              </w:rPr>
            </w:pPr>
            <w:r w:rsidRPr="000D6B2E">
              <w:rPr>
                <w:rFonts w:ascii="Times New Roman" w:hAnsi="Times New Roman"/>
                <w:lang w:val="bg-BG"/>
              </w:rPr>
              <w:t>Сила и посока на връзката, коефициент на корелация (r), коефициент на детерминация (R²), прогнозни ефекти върху структурата на сектора и общата употреба на торове</w:t>
            </w:r>
          </w:p>
        </w:tc>
      </w:tr>
    </w:tbl>
    <w:p w14:paraId="079ED67E" w14:textId="77777777" w:rsidR="00827F21" w:rsidRDefault="00827F21" w:rsidP="00827F21">
      <w:pPr>
        <w:spacing w:line="360" w:lineRule="auto"/>
        <w:jc w:val="center"/>
        <w:rPr>
          <w:rFonts w:ascii="Times New Roman" w:hAnsi="Times New Roman"/>
          <w:lang w:val="bg-BG"/>
        </w:rPr>
      </w:pPr>
      <w:r w:rsidRPr="006C3185">
        <w:rPr>
          <w:rFonts w:ascii="Times New Roman" w:hAnsi="Times New Roman"/>
          <w:lang w:val="bg-BG"/>
        </w:rPr>
        <w:t>Източник: собствена схема</w:t>
      </w:r>
    </w:p>
    <w:p w14:paraId="60CEE974" w14:textId="4917CF5D" w:rsidR="00B6720D" w:rsidRDefault="002B1E55" w:rsidP="00B6720D">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След определянето на общата методологична рамка се пристъпва към детайлното разработване на критериите и показателите за оценка на икономическата и екологичната ефективност. Тези критерии са систематизирани в следната таблица:</w:t>
      </w:r>
    </w:p>
    <w:p w14:paraId="0F80958A" w14:textId="77777777" w:rsidR="00B6720D" w:rsidRPr="00C21864" w:rsidRDefault="00B6720D" w:rsidP="00B6720D">
      <w:pPr>
        <w:pStyle w:val="Caption"/>
        <w:jc w:val="center"/>
        <w:rPr>
          <w:rFonts w:ascii="Times New Roman" w:hAnsi="Times New Roman" w:cs="Times New Roman"/>
          <w:i w:val="0"/>
          <w:iCs w:val="0"/>
          <w:color w:val="auto"/>
          <w:sz w:val="28"/>
          <w:szCs w:val="24"/>
          <w:lang w:val="bg-BG"/>
        </w:rPr>
      </w:pPr>
      <w:bookmarkStart w:id="9" w:name="_Toc228919017"/>
      <w:r w:rsidRPr="00C21864">
        <w:rPr>
          <w:rFonts w:ascii="Times New Roman" w:hAnsi="Times New Roman" w:cs="Times New Roman"/>
          <w:i w:val="0"/>
          <w:iCs w:val="0"/>
          <w:color w:val="auto"/>
          <w:sz w:val="22"/>
          <w:szCs w:val="22"/>
        </w:rPr>
        <w:t xml:space="preserve">Таблица </w:t>
      </w:r>
      <w:r w:rsidRPr="00C21864">
        <w:rPr>
          <w:rFonts w:ascii="Times New Roman" w:hAnsi="Times New Roman" w:cs="Times New Roman"/>
          <w:i w:val="0"/>
          <w:iCs w:val="0"/>
          <w:color w:val="auto"/>
          <w:sz w:val="22"/>
          <w:szCs w:val="22"/>
        </w:rPr>
        <w:fldChar w:fldCharType="begin"/>
      </w:r>
      <w:r w:rsidRPr="00C21864">
        <w:rPr>
          <w:rFonts w:ascii="Times New Roman" w:hAnsi="Times New Roman" w:cs="Times New Roman"/>
          <w:i w:val="0"/>
          <w:iCs w:val="0"/>
          <w:color w:val="auto"/>
          <w:sz w:val="22"/>
          <w:szCs w:val="22"/>
        </w:rPr>
        <w:instrText xml:space="preserve"> SEQ Таблица \* ARABIC </w:instrText>
      </w:r>
      <w:r w:rsidRPr="00C21864">
        <w:rPr>
          <w:rFonts w:ascii="Times New Roman" w:hAnsi="Times New Roman" w:cs="Times New Roman"/>
          <w:i w:val="0"/>
          <w:iCs w:val="0"/>
          <w:color w:val="auto"/>
          <w:sz w:val="22"/>
          <w:szCs w:val="22"/>
        </w:rPr>
        <w:fldChar w:fldCharType="separate"/>
      </w:r>
      <w:r>
        <w:rPr>
          <w:rFonts w:ascii="Times New Roman" w:hAnsi="Times New Roman" w:cs="Times New Roman"/>
          <w:i w:val="0"/>
          <w:iCs w:val="0"/>
          <w:noProof/>
          <w:color w:val="auto"/>
          <w:sz w:val="22"/>
          <w:szCs w:val="22"/>
        </w:rPr>
        <w:t>8</w:t>
      </w:r>
      <w:r w:rsidRPr="00C21864">
        <w:rPr>
          <w:rFonts w:ascii="Times New Roman" w:hAnsi="Times New Roman" w:cs="Times New Roman"/>
          <w:i w:val="0"/>
          <w:iCs w:val="0"/>
          <w:color w:val="auto"/>
          <w:sz w:val="22"/>
          <w:szCs w:val="22"/>
        </w:rPr>
        <w:fldChar w:fldCharType="end"/>
      </w:r>
      <w:r w:rsidRPr="00C21864">
        <w:rPr>
          <w:rFonts w:ascii="Times New Roman" w:hAnsi="Times New Roman" w:cs="Times New Roman"/>
          <w:i w:val="0"/>
          <w:iCs w:val="0"/>
          <w:color w:val="auto"/>
          <w:sz w:val="22"/>
          <w:szCs w:val="22"/>
        </w:rPr>
        <w:t xml:space="preserve"> </w:t>
      </w:r>
      <w:r w:rsidRPr="00C21864">
        <w:rPr>
          <w:rFonts w:ascii="Times New Roman" w:hAnsi="Times New Roman" w:cs="Times New Roman"/>
          <w:i w:val="0"/>
          <w:iCs w:val="0"/>
          <w:color w:val="auto"/>
          <w:sz w:val="22"/>
          <w:szCs w:val="22"/>
          <w:lang w:val="bg-BG"/>
        </w:rPr>
        <w:t>К</w:t>
      </w:r>
      <w:r w:rsidRPr="00C21864">
        <w:rPr>
          <w:rFonts w:ascii="Times New Roman" w:hAnsi="Times New Roman" w:cs="Times New Roman"/>
          <w:i w:val="0"/>
          <w:iCs w:val="0"/>
          <w:color w:val="auto"/>
          <w:sz w:val="22"/>
          <w:szCs w:val="22"/>
        </w:rPr>
        <w:t>ритерии и показатели за оценка на икономическата и екологичната ефективност на земеделските стопанства в условията на Зелената сделка</w:t>
      </w:r>
      <w:bookmarkEnd w:id="9"/>
    </w:p>
    <w:tbl>
      <w:tblPr>
        <w:tblW w:w="9846" w:type="dxa"/>
        <w:tblLook w:val="04A0" w:firstRow="1" w:lastRow="0" w:firstColumn="1" w:lastColumn="0" w:noHBand="0" w:noVBand="1"/>
      </w:tblPr>
      <w:tblGrid>
        <w:gridCol w:w="1699"/>
        <w:gridCol w:w="2108"/>
        <w:gridCol w:w="2057"/>
        <w:gridCol w:w="2073"/>
        <w:gridCol w:w="1478"/>
        <w:gridCol w:w="1179"/>
      </w:tblGrid>
      <w:tr w:rsidR="00B6720D" w:rsidRPr="00C21864" w14:paraId="7050D963" w14:textId="77777777" w:rsidTr="00BA1CD0">
        <w:trPr>
          <w:trHeight w:val="1104"/>
        </w:trPr>
        <w:tc>
          <w:tcPr>
            <w:tcW w:w="1587" w:type="dxa"/>
            <w:tcBorders>
              <w:top w:val="single" w:sz="4" w:space="0" w:color="auto"/>
              <w:left w:val="single" w:sz="4" w:space="0" w:color="auto"/>
              <w:bottom w:val="single" w:sz="4" w:space="0" w:color="auto"/>
              <w:right w:val="single" w:sz="4" w:space="0" w:color="auto"/>
            </w:tcBorders>
            <w:vAlign w:val="center"/>
            <w:hideMark/>
          </w:tcPr>
          <w:p w14:paraId="52F58A5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Направление на анализ</w:t>
            </w:r>
          </w:p>
        </w:tc>
        <w:tc>
          <w:tcPr>
            <w:tcW w:w="1967" w:type="dxa"/>
            <w:tcBorders>
              <w:top w:val="single" w:sz="4" w:space="0" w:color="auto"/>
              <w:left w:val="nil"/>
              <w:bottom w:val="single" w:sz="4" w:space="0" w:color="auto"/>
              <w:right w:val="single" w:sz="4" w:space="0" w:color="auto"/>
            </w:tcBorders>
            <w:vAlign w:val="center"/>
            <w:hideMark/>
          </w:tcPr>
          <w:p w14:paraId="30C87F06"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Критерий</w:t>
            </w:r>
          </w:p>
        </w:tc>
        <w:tc>
          <w:tcPr>
            <w:tcW w:w="1903" w:type="dxa"/>
            <w:tcBorders>
              <w:top w:val="single" w:sz="4" w:space="0" w:color="auto"/>
              <w:left w:val="nil"/>
              <w:bottom w:val="single" w:sz="4" w:space="0" w:color="auto"/>
              <w:right w:val="single" w:sz="4" w:space="0" w:color="auto"/>
            </w:tcBorders>
            <w:vAlign w:val="center"/>
            <w:hideMark/>
          </w:tcPr>
          <w:p w14:paraId="16BDE01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Показател</w:t>
            </w:r>
          </w:p>
        </w:tc>
        <w:tc>
          <w:tcPr>
            <w:tcW w:w="1919" w:type="dxa"/>
            <w:tcBorders>
              <w:top w:val="single" w:sz="4" w:space="0" w:color="auto"/>
              <w:left w:val="nil"/>
              <w:bottom w:val="single" w:sz="4" w:space="0" w:color="auto"/>
              <w:right w:val="single" w:sz="4" w:space="0" w:color="auto"/>
            </w:tcBorders>
            <w:vAlign w:val="center"/>
            <w:hideMark/>
          </w:tcPr>
          <w:p w14:paraId="0D4AED8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Метод</w:t>
            </w:r>
          </w:p>
        </w:tc>
        <w:tc>
          <w:tcPr>
            <w:tcW w:w="1371" w:type="dxa"/>
            <w:tcBorders>
              <w:top w:val="single" w:sz="4" w:space="0" w:color="auto"/>
              <w:left w:val="nil"/>
              <w:bottom w:val="single" w:sz="4" w:space="0" w:color="auto"/>
              <w:right w:val="single" w:sz="4" w:space="0" w:color="auto"/>
            </w:tcBorders>
            <w:vAlign w:val="center"/>
            <w:hideMark/>
          </w:tcPr>
          <w:p w14:paraId="0E875B11"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Равнище на наблюдение</w:t>
            </w:r>
          </w:p>
        </w:tc>
        <w:tc>
          <w:tcPr>
            <w:tcW w:w="1099" w:type="dxa"/>
            <w:tcBorders>
              <w:top w:val="single" w:sz="4" w:space="0" w:color="auto"/>
              <w:left w:val="nil"/>
              <w:bottom w:val="single" w:sz="4" w:space="0" w:color="auto"/>
              <w:right w:val="single" w:sz="4" w:space="0" w:color="auto"/>
            </w:tcBorders>
            <w:vAlign w:val="center"/>
            <w:hideMark/>
          </w:tcPr>
          <w:p w14:paraId="79BD5AC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Хипотеза</w:t>
            </w:r>
          </w:p>
        </w:tc>
      </w:tr>
      <w:tr w:rsidR="00B6720D" w:rsidRPr="00C21864" w14:paraId="7CB4D19A" w14:textId="77777777" w:rsidTr="00BA1CD0">
        <w:trPr>
          <w:trHeight w:val="1380"/>
        </w:trPr>
        <w:tc>
          <w:tcPr>
            <w:tcW w:w="1587" w:type="dxa"/>
            <w:vMerge w:val="restart"/>
            <w:tcBorders>
              <w:top w:val="nil"/>
              <w:left w:val="single" w:sz="4" w:space="0" w:color="auto"/>
              <w:bottom w:val="single" w:sz="4" w:space="0" w:color="auto"/>
              <w:right w:val="single" w:sz="4" w:space="0" w:color="auto"/>
            </w:tcBorders>
            <w:vAlign w:val="center"/>
            <w:hideMark/>
          </w:tcPr>
          <w:p w14:paraId="68B09B48"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Икономическа ефективност (ОСО)</w:t>
            </w:r>
          </w:p>
        </w:tc>
        <w:tc>
          <w:tcPr>
            <w:tcW w:w="1967" w:type="dxa"/>
            <w:tcBorders>
              <w:top w:val="nil"/>
              <w:left w:val="nil"/>
              <w:bottom w:val="single" w:sz="4" w:space="0" w:color="auto"/>
              <w:right w:val="single" w:sz="4" w:space="0" w:color="auto"/>
            </w:tcBorders>
            <w:vAlign w:val="center"/>
            <w:hideMark/>
          </w:tcPr>
          <w:p w14:paraId="5A41FDC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Ефективност на производствените разходи</w:t>
            </w:r>
          </w:p>
        </w:tc>
        <w:tc>
          <w:tcPr>
            <w:tcW w:w="1903" w:type="dxa"/>
            <w:tcBorders>
              <w:top w:val="nil"/>
              <w:left w:val="nil"/>
              <w:bottom w:val="single" w:sz="4" w:space="0" w:color="auto"/>
              <w:right w:val="single" w:sz="4" w:space="0" w:color="auto"/>
            </w:tcBorders>
            <w:vAlign w:val="center"/>
            <w:hideMark/>
          </w:tcPr>
          <w:p w14:paraId="30B1DFB0"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 коефициент на съотношението обща продукция/общи разходи: (SE131/SE025)BG / (SE270/SE025)EU</w:t>
            </w:r>
          </w:p>
        </w:tc>
        <w:tc>
          <w:tcPr>
            <w:tcW w:w="1919" w:type="dxa"/>
            <w:tcBorders>
              <w:top w:val="nil"/>
              <w:left w:val="nil"/>
              <w:bottom w:val="single" w:sz="4" w:space="0" w:color="auto"/>
              <w:right w:val="single" w:sz="4" w:space="0" w:color="auto"/>
            </w:tcBorders>
            <w:vAlign w:val="center"/>
            <w:hideMark/>
          </w:tcPr>
          <w:p w14:paraId="32DF2A58"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w:t>
            </w:r>
          </w:p>
        </w:tc>
        <w:tc>
          <w:tcPr>
            <w:tcW w:w="1371" w:type="dxa"/>
            <w:tcBorders>
              <w:top w:val="nil"/>
              <w:left w:val="nil"/>
              <w:bottom w:val="single" w:sz="4" w:space="0" w:color="auto"/>
              <w:right w:val="single" w:sz="4" w:space="0" w:color="auto"/>
            </w:tcBorders>
            <w:vAlign w:val="center"/>
            <w:hideMark/>
          </w:tcPr>
          <w:p w14:paraId="36684FC8"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Стопанство; сравнение с ЕС</w:t>
            </w:r>
          </w:p>
        </w:tc>
        <w:tc>
          <w:tcPr>
            <w:tcW w:w="1099" w:type="dxa"/>
            <w:tcBorders>
              <w:top w:val="nil"/>
              <w:left w:val="nil"/>
              <w:bottom w:val="single" w:sz="4" w:space="0" w:color="auto"/>
              <w:right w:val="single" w:sz="4" w:space="0" w:color="auto"/>
            </w:tcBorders>
            <w:vAlign w:val="center"/>
            <w:hideMark/>
          </w:tcPr>
          <w:p w14:paraId="5AC96F04"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Х1</w:t>
            </w:r>
          </w:p>
        </w:tc>
      </w:tr>
      <w:tr w:rsidR="00B6720D" w:rsidRPr="00C21864" w14:paraId="15209899" w14:textId="77777777" w:rsidTr="00BA1CD0">
        <w:trPr>
          <w:trHeight w:val="1380"/>
        </w:trPr>
        <w:tc>
          <w:tcPr>
            <w:tcW w:w="1587" w:type="dxa"/>
            <w:vMerge/>
            <w:tcBorders>
              <w:top w:val="nil"/>
              <w:left w:val="single" w:sz="4" w:space="0" w:color="auto"/>
              <w:bottom w:val="single" w:sz="4" w:space="0" w:color="auto"/>
              <w:right w:val="single" w:sz="4" w:space="0" w:color="auto"/>
            </w:tcBorders>
            <w:vAlign w:val="center"/>
            <w:hideMark/>
          </w:tcPr>
          <w:p w14:paraId="3FDA0964"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2AA71254"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Ефективност на труда</w:t>
            </w:r>
          </w:p>
        </w:tc>
        <w:tc>
          <w:tcPr>
            <w:tcW w:w="1903" w:type="dxa"/>
            <w:tcBorders>
              <w:top w:val="nil"/>
              <w:left w:val="nil"/>
              <w:bottom w:val="single" w:sz="4" w:space="0" w:color="auto"/>
              <w:right w:val="single" w:sz="4" w:space="0" w:color="auto"/>
            </w:tcBorders>
            <w:vAlign w:val="center"/>
            <w:hideMark/>
          </w:tcPr>
          <w:p w14:paraId="6676E18D"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 коефициент на продукция на годишна работна единица: (SE131/SE010)BG / (SE131/SE010)EU</w:t>
            </w:r>
          </w:p>
        </w:tc>
        <w:tc>
          <w:tcPr>
            <w:tcW w:w="1919" w:type="dxa"/>
            <w:tcBorders>
              <w:top w:val="nil"/>
              <w:left w:val="nil"/>
              <w:bottom w:val="single" w:sz="4" w:space="0" w:color="auto"/>
              <w:right w:val="single" w:sz="4" w:space="0" w:color="auto"/>
            </w:tcBorders>
            <w:vAlign w:val="center"/>
            <w:hideMark/>
          </w:tcPr>
          <w:p w14:paraId="79B7D18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w:t>
            </w:r>
          </w:p>
        </w:tc>
        <w:tc>
          <w:tcPr>
            <w:tcW w:w="1371" w:type="dxa"/>
            <w:tcBorders>
              <w:top w:val="nil"/>
              <w:left w:val="nil"/>
              <w:bottom w:val="single" w:sz="4" w:space="0" w:color="auto"/>
              <w:right w:val="single" w:sz="4" w:space="0" w:color="auto"/>
            </w:tcBorders>
            <w:vAlign w:val="center"/>
            <w:hideMark/>
          </w:tcPr>
          <w:p w14:paraId="1BEE6384"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Стопанство; сравнение с ЕС</w:t>
            </w:r>
          </w:p>
        </w:tc>
        <w:tc>
          <w:tcPr>
            <w:tcW w:w="1099" w:type="dxa"/>
            <w:tcBorders>
              <w:top w:val="nil"/>
              <w:left w:val="nil"/>
              <w:bottom w:val="single" w:sz="4" w:space="0" w:color="auto"/>
              <w:right w:val="single" w:sz="4" w:space="0" w:color="auto"/>
            </w:tcBorders>
            <w:vAlign w:val="center"/>
            <w:hideMark/>
          </w:tcPr>
          <w:p w14:paraId="236C846A"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Х1</w:t>
            </w:r>
          </w:p>
        </w:tc>
      </w:tr>
      <w:tr w:rsidR="00B6720D" w:rsidRPr="00C21864" w14:paraId="2720FB16" w14:textId="77777777" w:rsidTr="00BA1CD0">
        <w:trPr>
          <w:trHeight w:val="1104"/>
        </w:trPr>
        <w:tc>
          <w:tcPr>
            <w:tcW w:w="1587" w:type="dxa"/>
            <w:vMerge/>
            <w:tcBorders>
              <w:top w:val="nil"/>
              <w:left w:val="single" w:sz="4" w:space="0" w:color="auto"/>
              <w:bottom w:val="single" w:sz="4" w:space="0" w:color="auto"/>
              <w:right w:val="single" w:sz="4" w:space="0" w:color="auto"/>
            </w:tcBorders>
            <w:vAlign w:val="center"/>
            <w:hideMark/>
          </w:tcPr>
          <w:p w14:paraId="1E8AE101"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50E6986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Ефективност на капитала</w:t>
            </w:r>
          </w:p>
        </w:tc>
        <w:tc>
          <w:tcPr>
            <w:tcW w:w="1903" w:type="dxa"/>
            <w:tcBorders>
              <w:top w:val="nil"/>
              <w:left w:val="nil"/>
              <w:bottom w:val="single" w:sz="4" w:space="0" w:color="auto"/>
              <w:right w:val="single" w:sz="4" w:space="0" w:color="auto"/>
            </w:tcBorders>
            <w:vAlign w:val="center"/>
            <w:hideMark/>
          </w:tcPr>
          <w:p w14:paraId="3971E510"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 коефициент на продукция на единица активи: (SE131/SE436)BG / (SE131/SE436)EU</w:t>
            </w:r>
          </w:p>
        </w:tc>
        <w:tc>
          <w:tcPr>
            <w:tcW w:w="1919" w:type="dxa"/>
            <w:tcBorders>
              <w:top w:val="nil"/>
              <w:left w:val="nil"/>
              <w:bottom w:val="single" w:sz="4" w:space="0" w:color="auto"/>
              <w:right w:val="single" w:sz="4" w:space="0" w:color="auto"/>
            </w:tcBorders>
            <w:vAlign w:val="center"/>
            <w:hideMark/>
          </w:tcPr>
          <w:p w14:paraId="616D6662"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w:t>
            </w:r>
          </w:p>
        </w:tc>
        <w:tc>
          <w:tcPr>
            <w:tcW w:w="1371" w:type="dxa"/>
            <w:tcBorders>
              <w:top w:val="nil"/>
              <w:left w:val="nil"/>
              <w:bottom w:val="single" w:sz="4" w:space="0" w:color="auto"/>
              <w:right w:val="single" w:sz="4" w:space="0" w:color="auto"/>
            </w:tcBorders>
            <w:vAlign w:val="center"/>
            <w:hideMark/>
          </w:tcPr>
          <w:p w14:paraId="3CFDBA0F"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Стопанство; сравнение с ЕС</w:t>
            </w:r>
          </w:p>
        </w:tc>
        <w:tc>
          <w:tcPr>
            <w:tcW w:w="1099" w:type="dxa"/>
            <w:tcBorders>
              <w:top w:val="nil"/>
              <w:left w:val="nil"/>
              <w:bottom w:val="single" w:sz="4" w:space="0" w:color="auto"/>
              <w:right w:val="single" w:sz="4" w:space="0" w:color="auto"/>
            </w:tcBorders>
            <w:vAlign w:val="center"/>
            <w:hideMark/>
          </w:tcPr>
          <w:p w14:paraId="6CD79FF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Х1</w:t>
            </w:r>
          </w:p>
        </w:tc>
      </w:tr>
      <w:tr w:rsidR="00B6720D" w:rsidRPr="00C21864" w14:paraId="793722CB" w14:textId="77777777" w:rsidTr="00BA1CD0">
        <w:trPr>
          <w:trHeight w:val="828"/>
        </w:trPr>
        <w:tc>
          <w:tcPr>
            <w:tcW w:w="1587" w:type="dxa"/>
            <w:vMerge/>
            <w:tcBorders>
              <w:top w:val="nil"/>
              <w:left w:val="single" w:sz="4" w:space="0" w:color="auto"/>
              <w:bottom w:val="single" w:sz="4" w:space="0" w:color="auto"/>
              <w:right w:val="single" w:sz="4" w:space="0" w:color="auto"/>
            </w:tcBorders>
            <w:vAlign w:val="center"/>
            <w:hideMark/>
          </w:tcPr>
          <w:p w14:paraId="374D3690"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2832F54D"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Ефективност на земеползването</w:t>
            </w:r>
          </w:p>
        </w:tc>
        <w:tc>
          <w:tcPr>
            <w:tcW w:w="1903" w:type="dxa"/>
            <w:tcBorders>
              <w:top w:val="nil"/>
              <w:left w:val="nil"/>
              <w:bottom w:val="single" w:sz="4" w:space="0" w:color="auto"/>
              <w:right w:val="single" w:sz="4" w:space="0" w:color="auto"/>
            </w:tcBorders>
            <w:vAlign w:val="center"/>
            <w:hideMark/>
          </w:tcPr>
          <w:p w14:paraId="45F94D4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 коефициент на платена рента: SE375BG / SE375EU (€/ха)</w:t>
            </w:r>
          </w:p>
        </w:tc>
        <w:tc>
          <w:tcPr>
            <w:tcW w:w="1919" w:type="dxa"/>
            <w:tcBorders>
              <w:top w:val="nil"/>
              <w:left w:val="nil"/>
              <w:bottom w:val="single" w:sz="4" w:space="0" w:color="auto"/>
              <w:right w:val="single" w:sz="4" w:space="0" w:color="auto"/>
            </w:tcBorders>
            <w:vAlign w:val="center"/>
            <w:hideMark/>
          </w:tcPr>
          <w:p w14:paraId="0816B9D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w:t>
            </w:r>
          </w:p>
        </w:tc>
        <w:tc>
          <w:tcPr>
            <w:tcW w:w="1371" w:type="dxa"/>
            <w:tcBorders>
              <w:top w:val="nil"/>
              <w:left w:val="nil"/>
              <w:bottom w:val="single" w:sz="4" w:space="0" w:color="auto"/>
              <w:right w:val="single" w:sz="4" w:space="0" w:color="auto"/>
            </w:tcBorders>
            <w:vAlign w:val="center"/>
            <w:hideMark/>
          </w:tcPr>
          <w:p w14:paraId="6AE46284"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Стопанство; сравнение с ЕС</w:t>
            </w:r>
          </w:p>
        </w:tc>
        <w:tc>
          <w:tcPr>
            <w:tcW w:w="1099" w:type="dxa"/>
            <w:tcBorders>
              <w:top w:val="nil"/>
              <w:left w:val="nil"/>
              <w:bottom w:val="single" w:sz="4" w:space="0" w:color="auto"/>
              <w:right w:val="single" w:sz="4" w:space="0" w:color="auto"/>
            </w:tcBorders>
            <w:vAlign w:val="center"/>
            <w:hideMark/>
          </w:tcPr>
          <w:p w14:paraId="56A453FE"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Х1</w:t>
            </w:r>
          </w:p>
        </w:tc>
      </w:tr>
      <w:tr w:rsidR="00B6720D" w:rsidRPr="00C21864" w14:paraId="407C7773" w14:textId="77777777" w:rsidTr="00BA1CD0">
        <w:trPr>
          <w:trHeight w:val="1104"/>
        </w:trPr>
        <w:tc>
          <w:tcPr>
            <w:tcW w:w="1587" w:type="dxa"/>
            <w:vMerge w:val="restart"/>
            <w:tcBorders>
              <w:top w:val="nil"/>
              <w:left w:val="single" w:sz="4" w:space="0" w:color="auto"/>
              <w:bottom w:val="single" w:sz="4" w:space="0" w:color="auto"/>
              <w:right w:val="single" w:sz="4" w:space="0" w:color="auto"/>
            </w:tcBorders>
            <w:vAlign w:val="center"/>
            <w:hideMark/>
          </w:tcPr>
          <w:p w14:paraId="533EB8AF"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Екологична ефективност (ОСО)</w:t>
            </w:r>
          </w:p>
        </w:tc>
        <w:tc>
          <w:tcPr>
            <w:tcW w:w="1967" w:type="dxa"/>
            <w:tcBorders>
              <w:top w:val="nil"/>
              <w:left w:val="nil"/>
              <w:bottom w:val="single" w:sz="4" w:space="0" w:color="auto"/>
              <w:right w:val="single" w:sz="4" w:space="0" w:color="auto"/>
            </w:tcBorders>
            <w:vAlign w:val="center"/>
            <w:hideMark/>
          </w:tcPr>
          <w:p w14:paraId="284003FE"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Интензивност на торенето</w:t>
            </w:r>
          </w:p>
        </w:tc>
        <w:tc>
          <w:tcPr>
            <w:tcW w:w="1903" w:type="dxa"/>
            <w:tcBorders>
              <w:top w:val="nil"/>
              <w:left w:val="nil"/>
              <w:bottom w:val="single" w:sz="4" w:space="0" w:color="auto"/>
              <w:right w:val="single" w:sz="4" w:space="0" w:color="auto"/>
            </w:tcBorders>
            <w:vAlign w:val="center"/>
            <w:hideMark/>
          </w:tcPr>
          <w:p w14:paraId="3AE5E8C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 коефициент на разходите за торове: (SE295/SE025)BG / (SE295/SE025)EU (€/ха)</w:t>
            </w:r>
          </w:p>
        </w:tc>
        <w:tc>
          <w:tcPr>
            <w:tcW w:w="1919" w:type="dxa"/>
            <w:tcBorders>
              <w:top w:val="nil"/>
              <w:left w:val="nil"/>
              <w:bottom w:val="single" w:sz="4" w:space="0" w:color="auto"/>
              <w:right w:val="single" w:sz="4" w:space="0" w:color="auto"/>
            </w:tcBorders>
            <w:vAlign w:val="center"/>
            <w:hideMark/>
          </w:tcPr>
          <w:p w14:paraId="211F513D"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w:t>
            </w:r>
          </w:p>
        </w:tc>
        <w:tc>
          <w:tcPr>
            <w:tcW w:w="1371" w:type="dxa"/>
            <w:tcBorders>
              <w:top w:val="nil"/>
              <w:left w:val="nil"/>
              <w:bottom w:val="single" w:sz="4" w:space="0" w:color="auto"/>
              <w:right w:val="single" w:sz="4" w:space="0" w:color="auto"/>
            </w:tcBorders>
            <w:vAlign w:val="center"/>
            <w:hideMark/>
          </w:tcPr>
          <w:p w14:paraId="497C672D"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Стопанство; сравнение с ЕС</w:t>
            </w:r>
          </w:p>
        </w:tc>
        <w:tc>
          <w:tcPr>
            <w:tcW w:w="1099" w:type="dxa"/>
            <w:tcBorders>
              <w:top w:val="nil"/>
              <w:left w:val="nil"/>
              <w:bottom w:val="single" w:sz="4" w:space="0" w:color="auto"/>
              <w:right w:val="single" w:sz="4" w:space="0" w:color="auto"/>
            </w:tcBorders>
            <w:vAlign w:val="center"/>
            <w:hideMark/>
          </w:tcPr>
          <w:p w14:paraId="448F1744"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 Х3</w:t>
            </w:r>
          </w:p>
        </w:tc>
      </w:tr>
      <w:tr w:rsidR="00B6720D" w:rsidRPr="00C21864" w14:paraId="18211CAF" w14:textId="77777777" w:rsidTr="00BA1CD0">
        <w:trPr>
          <w:trHeight w:val="1104"/>
        </w:trPr>
        <w:tc>
          <w:tcPr>
            <w:tcW w:w="1587" w:type="dxa"/>
            <w:vMerge/>
            <w:tcBorders>
              <w:top w:val="nil"/>
              <w:left w:val="single" w:sz="4" w:space="0" w:color="auto"/>
              <w:bottom w:val="single" w:sz="4" w:space="0" w:color="auto"/>
              <w:right w:val="single" w:sz="4" w:space="0" w:color="auto"/>
            </w:tcBorders>
            <w:vAlign w:val="center"/>
            <w:hideMark/>
          </w:tcPr>
          <w:p w14:paraId="01FF5843"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3BE9C1E1"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Интензивност на растителна защита</w:t>
            </w:r>
          </w:p>
        </w:tc>
        <w:tc>
          <w:tcPr>
            <w:tcW w:w="1903" w:type="dxa"/>
            <w:tcBorders>
              <w:top w:val="nil"/>
              <w:left w:val="nil"/>
              <w:bottom w:val="single" w:sz="4" w:space="0" w:color="auto"/>
              <w:right w:val="single" w:sz="4" w:space="0" w:color="auto"/>
            </w:tcBorders>
            <w:vAlign w:val="center"/>
            <w:hideMark/>
          </w:tcPr>
          <w:p w14:paraId="11BFAFC8"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 коефициент на разходите за ПРЗ: (SE300/SE025)BG / (SE300/SE025)EU (€/ха)</w:t>
            </w:r>
          </w:p>
        </w:tc>
        <w:tc>
          <w:tcPr>
            <w:tcW w:w="1919" w:type="dxa"/>
            <w:tcBorders>
              <w:top w:val="nil"/>
              <w:left w:val="nil"/>
              <w:bottom w:val="single" w:sz="4" w:space="0" w:color="auto"/>
              <w:right w:val="single" w:sz="4" w:space="0" w:color="auto"/>
            </w:tcBorders>
            <w:vAlign w:val="center"/>
            <w:hideMark/>
          </w:tcPr>
          <w:p w14:paraId="01C74A60"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w:t>
            </w:r>
          </w:p>
        </w:tc>
        <w:tc>
          <w:tcPr>
            <w:tcW w:w="1371" w:type="dxa"/>
            <w:tcBorders>
              <w:top w:val="nil"/>
              <w:left w:val="nil"/>
              <w:bottom w:val="single" w:sz="4" w:space="0" w:color="auto"/>
              <w:right w:val="single" w:sz="4" w:space="0" w:color="auto"/>
            </w:tcBorders>
            <w:vAlign w:val="center"/>
            <w:hideMark/>
          </w:tcPr>
          <w:p w14:paraId="557CF9A0"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Стопанство; сравнение с ЕС</w:t>
            </w:r>
          </w:p>
        </w:tc>
        <w:tc>
          <w:tcPr>
            <w:tcW w:w="1099" w:type="dxa"/>
            <w:tcBorders>
              <w:top w:val="nil"/>
              <w:left w:val="nil"/>
              <w:bottom w:val="single" w:sz="4" w:space="0" w:color="auto"/>
              <w:right w:val="single" w:sz="4" w:space="0" w:color="auto"/>
            </w:tcBorders>
            <w:vAlign w:val="center"/>
            <w:hideMark/>
          </w:tcPr>
          <w:p w14:paraId="3681442C"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 Х3</w:t>
            </w:r>
          </w:p>
        </w:tc>
      </w:tr>
      <w:tr w:rsidR="00B6720D" w:rsidRPr="00C21864" w14:paraId="7E5BFC18" w14:textId="77777777" w:rsidTr="00BA1CD0">
        <w:trPr>
          <w:trHeight w:val="1656"/>
        </w:trPr>
        <w:tc>
          <w:tcPr>
            <w:tcW w:w="1587" w:type="dxa"/>
            <w:vMerge/>
            <w:tcBorders>
              <w:top w:val="nil"/>
              <w:left w:val="single" w:sz="4" w:space="0" w:color="auto"/>
              <w:bottom w:val="single" w:sz="4" w:space="0" w:color="auto"/>
              <w:right w:val="single" w:sz="4" w:space="0" w:color="auto"/>
            </w:tcBorders>
            <w:vAlign w:val="center"/>
            <w:hideMark/>
          </w:tcPr>
          <w:p w14:paraId="4956311A"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0AA68FE2"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Специфична ресурсна интензивност в животновъдството</w:t>
            </w:r>
          </w:p>
        </w:tc>
        <w:tc>
          <w:tcPr>
            <w:tcW w:w="1903" w:type="dxa"/>
            <w:tcBorders>
              <w:top w:val="nil"/>
              <w:left w:val="nil"/>
              <w:bottom w:val="single" w:sz="4" w:space="0" w:color="auto"/>
              <w:right w:val="single" w:sz="4" w:space="0" w:color="auto"/>
            </w:tcBorders>
            <w:vAlign w:val="center"/>
            <w:hideMark/>
          </w:tcPr>
          <w:p w14:paraId="32EA97FC"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 коефициент на специфичните разходи за животновъдство, вкл. ветеринарни: (SE330/SE025)BG / (SE330/SE025)EU (€/ха)</w:t>
            </w:r>
          </w:p>
        </w:tc>
        <w:tc>
          <w:tcPr>
            <w:tcW w:w="1919" w:type="dxa"/>
            <w:tcBorders>
              <w:top w:val="nil"/>
              <w:left w:val="nil"/>
              <w:bottom w:val="single" w:sz="4" w:space="0" w:color="auto"/>
              <w:right w:val="single" w:sz="4" w:space="0" w:color="auto"/>
            </w:tcBorders>
            <w:vAlign w:val="center"/>
            <w:hideMark/>
          </w:tcPr>
          <w:p w14:paraId="6CD571F1"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ОСО</w:t>
            </w:r>
          </w:p>
        </w:tc>
        <w:tc>
          <w:tcPr>
            <w:tcW w:w="1371" w:type="dxa"/>
            <w:tcBorders>
              <w:top w:val="nil"/>
              <w:left w:val="nil"/>
              <w:bottom w:val="single" w:sz="4" w:space="0" w:color="auto"/>
              <w:right w:val="single" w:sz="4" w:space="0" w:color="auto"/>
            </w:tcBorders>
            <w:vAlign w:val="center"/>
            <w:hideMark/>
          </w:tcPr>
          <w:p w14:paraId="53810AC2"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Стопанство; сравнение с ЕС</w:t>
            </w:r>
          </w:p>
        </w:tc>
        <w:tc>
          <w:tcPr>
            <w:tcW w:w="1099" w:type="dxa"/>
            <w:tcBorders>
              <w:top w:val="nil"/>
              <w:left w:val="nil"/>
              <w:bottom w:val="single" w:sz="4" w:space="0" w:color="auto"/>
              <w:right w:val="single" w:sz="4" w:space="0" w:color="auto"/>
            </w:tcBorders>
            <w:vAlign w:val="center"/>
            <w:hideMark/>
          </w:tcPr>
          <w:p w14:paraId="1886970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 Х3</w:t>
            </w:r>
          </w:p>
        </w:tc>
      </w:tr>
      <w:tr w:rsidR="00B6720D" w:rsidRPr="00C21864" w14:paraId="7E6BC08F" w14:textId="77777777" w:rsidTr="00BA1CD0">
        <w:trPr>
          <w:trHeight w:val="828"/>
        </w:trPr>
        <w:tc>
          <w:tcPr>
            <w:tcW w:w="1587" w:type="dxa"/>
            <w:vMerge w:val="restart"/>
            <w:tcBorders>
              <w:top w:val="nil"/>
              <w:left w:val="single" w:sz="4" w:space="0" w:color="auto"/>
              <w:bottom w:val="single" w:sz="4" w:space="0" w:color="auto"/>
              <w:right w:val="single" w:sz="4" w:space="0" w:color="auto"/>
            </w:tcBorders>
            <w:vAlign w:val="center"/>
            <w:hideMark/>
          </w:tcPr>
          <w:p w14:paraId="29E312CA"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Екологична ефективност (казусни изследвания)</w:t>
            </w:r>
          </w:p>
        </w:tc>
        <w:tc>
          <w:tcPr>
            <w:tcW w:w="1967" w:type="dxa"/>
            <w:tcBorders>
              <w:top w:val="nil"/>
              <w:left w:val="nil"/>
              <w:bottom w:val="single" w:sz="4" w:space="0" w:color="auto"/>
              <w:right w:val="single" w:sz="4" w:space="0" w:color="auto"/>
            </w:tcBorders>
            <w:vAlign w:val="center"/>
            <w:hideMark/>
          </w:tcPr>
          <w:p w14:paraId="0754A2C8"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Азотна ефективност</w:t>
            </w:r>
          </w:p>
        </w:tc>
        <w:tc>
          <w:tcPr>
            <w:tcW w:w="1903" w:type="dxa"/>
            <w:tcBorders>
              <w:top w:val="nil"/>
              <w:left w:val="nil"/>
              <w:bottom w:val="single" w:sz="4" w:space="0" w:color="auto"/>
              <w:right w:val="single" w:sz="4" w:space="0" w:color="auto"/>
            </w:tcBorders>
            <w:vAlign w:val="center"/>
            <w:hideMark/>
          </w:tcPr>
          <w:p w14:paraId="54F58C80"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NUE = Q/N (т добив/кг приложен N)</w:t>
            </w:r>
          </w:p>
        </w:tc>
        <w:tc>
          <w:tcPr>
            <w:tcW w:w="1919" w:type="dxa"/>
            <w:tcBorders>
              <w:top w:val="nil"/>
              <w:left w:val="nil"/>
              <w:bottom w:val="single" w:sz="4" w:space="0" w:color="auto"/>
              <w:right w:val="single" w:sz="4" w:space="0" w:color="auto"/>
            </w:tcBorders>
            <w:vAlign w:val="center"/>
            <w:hideMark/>
          </w:tcPr>
          <w:p w14:paraId="6B1BED07"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Казусни изследвания; лабораторни анализи</w:t>
            </w:r>
          </w:p>
        </w:tc>
        <w:tc>
          <w:tcPr>
            <w:tcW w:w="1371" w:type="dxa"/>
            <w:tcBorders>
              <w:top w:val="nil"/>
              <w:left w:val="nil"/>
              <w:bottom w:val="single" w:sz="4" w:space="0" w:color="auto"/>
              <w:right w:val="single" w:sz="4" w:space="0" w:color="auto"/>
            </w:tcBorders>
            <w:vAlign w:val="center"/>
            <w:hideMark/>
          </w:tcPr>
          <w:p w14:paraId="29612047"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Стопанство; по практики</w:t>
            </w:r>
          </w:p>
        </w:tc>
        <w:tc>
          <w:tcPr>
            <w:tcW w:w="1099" w:type="dxa"/>
            <w:tcBorders>
              <w:top w:val="nil"/>
              <w:left w:val="nil"/>
              <w:bottom w:val="single" w:sz="4" w:space="0" w:color="auto"/>
              <w:right w:val="single" w:sz="4" w:space="0" w:color="auto"/>
            </w:tcBorders>
            <w:vAlign w:val="center"/>
            <w:hideMark/>
          </w:tcPr>
          <w:p w14:paraId="0E200BA7"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45DEEABC" w14:textId="77777777" w:rsidTr="00BA1CD0">
        <w:trPr>
          <w:trHeight w:val="828"/>
        </w:trPr>
        <w:tc>
          <w:tcPr>
            <w:tcW w:w="1587" w:type="dxa"/>
            <w:vMerge/>
            <w:tcBorders>
              <w:top w:val="nil"/>
              <w:left w:val="single" w:sz="4" w:space="0" w:color="auto"/>
              <w:bottom w:val="single" w:sz="4" w:space="0" w:color="auto"/>
              <w:right w:val="single" w:sz="4" w:space="0" w:color="auto"/>
            </w:tcBorders>
            <w:vAlign w:val="center"/>
            <w:hideMark/>
          </w:tcPr>
          <w:p w14:paraId="06C72550"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20EF2F2D"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Въглеродна интензивност</w:t>
            </w:r>
          </w:p>
        </w:tc>
        <w:tc>
          <w:tcPr>
            <w:tcW w:w="1903" w:type="dxa"/>
            <w:tcBorders>
              <w:top w:val="nil"/>
              <w:left w:val="nil"/>
              <w:bottom w:val="single" w:sz="4" w:space="0" w:color="auto"/>
              <w:right w:val="single" w:sz="4" w:space="0" w:color="auto"/>
            </w:tcBorders>
            <w:vAlign w:val="center"/>
            <w:hideMark/>
          </w:tcPr>
          <w:p w14:paraId="12F1A545"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CI = GHG(N,E)/Q (kg CO₂ eq/т продукция)</w:t>
            </w:r>
          </w:p>
        </w:tc>
        <w:tc>
          <w:tcPr>
            <w:tcW w:w="1919" w:type="dxa"/>
            <w:tcBorders>
              <w:top w:val="nil"/>
              <w:left w:val="nil"/>
              <w:bottom w:val="single" w:sz="4" w:space="0" w:color="auto"/>
              <w:right w:val="single" w:sz="4" w:space="0" w:color="auto"/>
            </w:tcBorders>
            <w:vAlign w:val="center"/>
            <w:hideMark/>
          </w:tcPr>
          <w:p w14:paraId="5B5E0C5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Казусни изследвания; емисионни коефициенти</w:t>
            </w:r>
          </w:p>
        </w:tc>
        <w:tc>
          <w:tcPr>
            <w:tcW w:w="1371" w:type="dxa"/>
            <w:tcBorders>
              <w:top w:val="nil"/>
              <w:left w:val="nil"/>
              <w:bottom w:val="single" w:sz="4" w:space="0" w:color="auto"/>
              <w:right w:val="single" w:sz="4" w:space="0" w:color="auto"/>
            </w:tcBorders>
            <w:vAlign w:val="center"/>
            <w:hideMark/>
          </w:tcPr>
          <w:p w14:paraId="420BB83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Стопанство; по практики</w:t>
            </w:r>
          </w:p>
        </w:tc>
        <w:tc>
          <w:tcPr>
            <w:tcW w:w="1099" w:type="dxa"/>
            <w:tcBorders>
              <w:top w:val="nil"/>
              <w:left w:val="nil"/>
              <w:bottom w:val="single" w:sz="4" w:space="0" w:color="auto"/>
              <w:right w:val="single" w:sz="4" w:space="0" w:color="auto"/>
            </w:tcBorders>
            <w:vAlign w:val="center"/>
            <w:hideMark/>
          </w:tcPr>
          <w:p w14:paraId="56A65385"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106A493A" w14:textId="77777777" w:rsidTr="00BA1CD0">
        <w:trPr>
          <w:trHeight w:val="828"/>
        </w:trPr>
        <w:tc>
          <w:tcPr>
            <w:tcW w:w="1587" w:type="dxa"/>
            <w:vMerge/>
            <w:tcBorders>
              <w:top w:val="nil"/>
              <w:left w:val="single" w:sz="4" w:space="0" w:color="auto"/>
              <w:bottom w:val="single" w:sz="4" w:space="0" w:color="auto"/>
              <w:right w:val="single" w:sz="4" w:space="0" w:color="auto"/>
            </w:tcBorders>
            <w:vAlign w:val="center"/>
            <w:hideMark/>
          </w:tcPr>
          <w:p w14:paraId="13E00AD6"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150C73BC"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Водна продуктивност</w:t>
            </w:r>
          </w:p>
        </w:tc>
        <w:tc>
          <w:tcPr>
            <w:tcW w:w="1903" w:type="dxa"/>
            <w:tcBorders>
              <w:top w:val="nil"/>
              <w:left w:val="nil"/>
              <w:bottom w:val="single" w:sz="4" w:space="0" w:color="auto"/>
              <w:right w:val="single" w:sz="4" w:space="0" w:color="auto"/>
            </w:tcBorders>
            <w:vAlign w:val="center"/>
            <w:hideMark/>
          </w:tcPr>
          <w:p w14:paraId="19C0AB6C"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WP = Q/W (т продукция/м³ използвана вода)</w:t>
            </w:r>
          </w:p>
        </w:tc>
        <w:tc>
          <w:tcPr>
            <w:tcW w:w="1919" w:type="dxa"/>
            <w:tcBorders>
              <w:top w:val="nil"/>
              <w:left w:val="nil"/>
              <w:bottom w:val="single" w:sz="4" w:space="0" w:color="auto"/>
              <w:right w:val="single" w:sz="4" w:space="0" w:color="auto"/>
            </w:tcBorders>
            <w:vAlign w:val="center"/>
            <w:hideMark/>
          </w:tcPr>
          <w:p w14:paraId="0F7D0396"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Казусни изследвания</w:t>
            </w:r>
          </w:p>
        </w:tc>
        <w:tc>
          <w:tcPr>
            <w:tcW w:w="1371" w:type="dxa"/>
            <w:tcBorders>
              <w:top w:val="nil"/>
              <w:left w:val="nil"/>
              <w:bottom w:val="single" w:sz="4" w:space="0" w:color="auto"/>
              <w:right w:val="single" w:sz="4" w:space="0" w:color="auto"/>
            </w:tcBorders>
            <w:vAlign w:val="center"/>
            <w:hideMark/>
          </w:tcPr>
          <w:p w14:paraId="49FF518E"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Стопанство; по практики</w:t>
            </w:r>
          </w:p>
        </w:tc>
        <w:tc>
          <w:tcPr>
            <w:tcW w:w="1099" w:type="dxa"/>
            <w:tcBorders>
              <w:top w:val="nil"/>
              <w:left w:val="nil"/>
              <w:bottom w:val="single" w:sz="4" w:space="0" w:color="auto"/>
              <w:right w:val="single" w:sz="4" w:space="0" w:color="auto"/>
            </w:tcBorders>
            <w:vAlign w:val="center"/>
            <w:hideMark/>
          </w:tcPr>
          <w:p w14:paraId="62E89A0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5835120B" w14:textId="77777777" w:rsidTr="00BA1CD0">
        <w:trPr>
          <w:trHeight w:val="1380"/>
        </w:trPr>
        <w:tc>
          <w:tcPr>
            <w:tcW w:w="1587" w:type="dxa"/>
            <w:vMerge/>
            <w:tcBorders>
              <w:top w:val="nil"/>
              <w:left w:val="single" w:sz="4" w:space="0" w:color="auto"/>
              <w:bottom w:val="single" w:sz="4" w:space="0" w:color="auto"/>
              <w:right w:val="single" w:sz="4" w:space="0" w:color="auto"/>
            </w:tcBorders>
            <w:vAlign w:val="center"/>
            <w:hideMark/>
          </w:tcPr>
          <w:p w14:paraId="5887F682"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7308BB28"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Eco-efficiency (обща)</w:t>
            </w:r>
          </w:p>
        </w:tc>
        <w:tc>
          <w:tcPr>
            <w:tcW w:w="1903" w:type="dxa"/>
            <w:tcBorders>
              <w:top w:val="nil"/>
              <w:left w:val="nil"/>
              <w:bottom w:val="single" w:sz="4" w:space="0" w:color="auto"/>
              <w:right w:val="single" w:sz="4" w:space="0" w:color="auto"/>
            </w:tcBorders>
            <w:vAlign w:val="center"/>
            <w:hideMark/>
          </w:tcPr>
          <w:p w14:paraId="3100D6E2"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EE = V/EI (стойност на продукцията лв./ха спрямо агрегиран екологичен натиск); динамичен индекс ΔEE = EEt+1/EEt</w:t>
            </w:r>
          </w:p>
        </w:tc>
        <w:tc>
          <w:tcPr>
            <w:tcW w:w="1919" w:type="dxa"/>
            <w:tcBorders>
              <w:top w:val="nil"/>
              <w:left w:val="nil"/>
              <w:bottom w:val="single" w:sz="4" w:space="0" w:color="auto"/>
              <w:right w:val="single" w:sz="4" w:space="0" w:color="auto"/>
            </w:tcBorders>
            <w:vAlign w:val="center"/>
            <w:hideMark/>
          </w:tcPr>
          <w:p w14:paraId="08405E91"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Казусни изследвания</w:t>
            </w:r>
          </w:p>
        </w:tc>
        <w:tc>
          <w:tcPr>
            <w:tcW w:w="1371" w:type="dxa"/>
            <w:tcBorders>
              <w:top w:val="nil"/>
              <w:left w:val="nil"/>
              <w:bottom w:val="single" w:sz="4" w:space="0" w:color="auto"/>
              <w:right w:val="single" w:sz="4" w:space="0" w:color="auto"/>
            </w:tcBorders>
            <w:vAlign w:val="center"/>
            <w:hideMark/>
          </w:tcPr>
          <w:p w14:paraId="2878989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Стопанство; по практики</w:t>
            </w:r>
          </w:p>
        </w:tc>
        <w:tc>
          <w:tcPr>
            <w:tcW w:w="1099" w:type="dxa"/>
            <w:tcBorders>
              <w:top w:val="nil"/>
              <w:left w:val="nil"/>
              <w:bottom w:val="single" w:sz="4" w:space="0" w:color="auto"/>
              <w:right w:val="single" w:sz="4" w:space="0" w:color="auto"/>
            </w:tcBorders>
            <w:vAlign w:val="center"/>
            <w:hideMark/>
          </w:tcPr>
          <w:p w14:paraId="35820636"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79D75AF7" w14:textId="77777777" w:rsidTr="00BA1CD0">
        <w:trPr>
          <w:trHeight w:val="1656"/>
        </w:trPr>
        <w:tc>
          <w:tcPr>
            <w:tcW w:w="1587" w:type="dxa"/>
            <w:vMerge w:val="restart"/>
            <w:tcBorders>
              <w:top w:val="nil"/>
              <w:left w:val="single" w:sz="4" w:space="0" w:color="auto"/>
              <w:bottom w:val="single" w:sz="4" w:space="0" w:color="auto"/>
              <w:right w:val="single" w:sz="4" w:space="0" w:color="auto"/>
            </w:tcBorders>
            <w:vAlign w:val="center"/>
            <w:hideMark/>
          </w:tcPr>
          <w:p w14:paraId="07021454"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Нагласи и адаптивен капацитет</w:t>
            </w:r>
          </w:p>
        </w:tc>
        <w:tc>
          <w:tcPr>
            <w:tcW w:w="1967" w:type="dxa"/>
            <w:tcBorders>
              <w:top w:val="nil"/>
              <w:left w:val="nil"/>
              <w:bottom w:val="single" w:sz="4" w:space="0" w:color="auto"/>
              <w:right w:val="single" w:sz="4" w:space="0" w:color="auto"/>
            </w:tcBorders>
            <w:vAlign w:val="center"/>
            <w:hideMark/>
          </w:tcPr>
          <w:p w14:paraId="75D2964E"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Информираност за Зелената сделка</w:t>
            </w:r>
          </w:p>
        </w:tc>
        <w:tc>
          <w:tcPr>
            <w:tcW w:w="1903" w:type="dxa"/>
            <w:tcBorders>
              <w:top w:val="nil"/>
              <w:left w:val="nil"/>
              <w:bottom w:val="single" w:sz="4" w:space="0" w:color="auto"/>
              <w:right w:val="single" w:sz="4" w:space="0" w:color="auto"/>
            </w:tcBorders>
            <w:vAlign w:val="center"/>
            <w:hideMark/>
          </w:tcPr>
          <w:p w14:paraId="2ADD2C97"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Дял на стопаните по степен на информираност: много добре / частично / повърхностно / изобщо незапознати (%)</w:t>
            </w:r>
          </w:p>
        </w:tc>
        <w:tc>
          <w:tcPr>
            <w:tcW w:w="1919" w:type="dxa"/>
            <w:tcBorders>
              <w:top w:val="nil"/>
              <w:left w:val="nil"/>
              <w:bottom w:val="single" w:sz="4" w:space="0" w:color="auto"/>
              <w:right w:val="single" w:sz="4" w:space="0" w:color="auto"/>
            </w:tcBorders>
            <w:vAlign w:val="center"/>
            <w:hideMark/>
          </w:tcPr>
          <w:p w14:paraId="0204793F"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Анкетно проучване (n=92); фокус групи</w:t>
            </w:r>
          </w:p>
        </w:tc>
        <w:tc>
          <w:tcPr>
            <w:tcW w:w="1371" w:type="dxa"/>
            <w:tcBorders>
              <w:top w:val="nil"/>
              <w:left w:val="nil"/>
              <w:bottom w:val="single" w:sz="4" w:space="0" w:color="auto"/>
              <w:right w:val="single" w:sz="4" w:space="0" w:color="auto"/>
            </w:tcBorders>
            <w:vAlign w:val="center"/>
            <w:hideMark/>
          </w:tcPr>
          <w:p w14:paraId="00AC17F1"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Сектор</w:t>
            </w:r>
          </w:p>
        </w:tc>
        <w:tc>
          <w:tcPr>
            <w:tcW w:w="1099" w:type="dxa"/>
            <w:tcBorders>
              <w:top w:val="nil"/>
              <w:left w:val="nil"/>
              <w:bottom w:val="single" w:sz="4" w:space="0" w:color="auto"/>
              <w:right w:val="single" w:sz="4" w:space="0" w:color="auto"/>
            </w:tcBorders>
            <w:vAlign w:val="center"/>
            <w:hideMark/>
          </w:tcPr>
          <w:p w14:paraId="651F38EA"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62ABADF5" w14:textId="77777777" w:rsidTr="00BA1CD0">
        <w:trPr>
          <w:trHeight w:val="1380"/>
        </w:trPr>
        <w:tc>
          <w:tcPr>
            <w:tcW w:w="1587" w:type="dxa"/>
            <w:vMerge/>
            <w:tcBorders>
              <w:top w:val="nil"/>
              <w:left w:val="single" w:sz="4" w:space="0" w:color="auto"/>
              <w:bottom w:val="single" w:sz="4" w:space="0" w:color="auto"/>
              <w:right w:val="single" w:sz="4" w:space="0" w:color="auto"/>
            </w:tcBorders>
            <w:vAlign w:val="center"/>
            <w:hideMark/>
          </w:tcPr>
          <w:p w14:paraId="55C9AD64"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350DB251"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Очаквано въздействие на Зелената сделка</w:t>
            </w:r>
          </w:p>
        </w:tc>
        <w:tc>
          <w:tcPr>
            <w:tcW w:w="1903" w:type="dxa"/>
            <w:tcBorders>
              <w:top w:val="nil"/>
              <w:left w:val="nil"/>
              <w:bottom w:val="single" w:sz="4" w:space="0" w:color="auto"/>
              <w:right w:val="single" w:sz="4" w:space="0" w:color="auto"/>
            </w:tcBorders>
            <w:vAlign w:val="center"/>
            <w:hideMark/>
          </w:tcPr>
          <w:p w14:paraId="697E90DC"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Дял на стопаните, очакващи негативно / неутрално / позитивно въздействие върху стопанството (%)</w:t>
            </w:r>
          </w:p>
        </w:tc>
        <w:tc>
          <w:tcPr>
            <w:tcW w:w="1919" w:type="dxa"/>
            <w:tcBorders>
              <w:top w:val="nil"/>
              <w:left w:val="nil"/>
              <w:bottom w:val="single" w:sz="4" w:space="0" w:color="auto"/>
              <w:right w:val="single" w:sz="4" w:space="0" w:color="auto"/>
            </w:tcBorders>
            <w:vAlign w:val="center"/>
            <w:hideMark/>
          </w:tcPr>
          <w:p w14:paraId="3788340B"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Анкетно проучване; фокус групи</w:t>
            </w:r>
          </w:p>
        </w:tc>
        <w:tc>
          <w:tcPr>
            <w:tcW w:w="1371" w:type="dxa"/>
            <w:tcBorders>
              <w:top w:val="nil"/>
              <w:left w:val="nil"/>
              <w:bottom w:val="single" w:sz="4" w:space="0" w:color="auto"/>
              <w:right w:val="single" w:sz="4" w:space="0" w:color="auto"/>
            </w:tcBorders>
            <w:vAlign w:val="center"/>
            <w:hideMark/>
          </w:tcPr>
          <w:p w14:paraId="7F4167F4"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Сектор</w:t>
            </w:r>
          </w:p>
        </w:tc>
        <w:tc>
          <w:tcPr>
            <w:tcW w:w="1099" w:type="dxa"/>
            <w:tcBorders>
              <w:top w:val="nil"/>
              <w:left w:val="nil"/>
              <w:bottom w:val="single" w:sz="4" w:space="0" w:color="auto"/>
              <w:right w:val="single" w:sz="4" w:space="0" w:color="auto"/>
            </w:tcBorders>
            <w:vAlign w:val="center"/>
            <w:hideMark/>
          </w:tcPr>
          <w:p w14:paraId="0B3DF34E"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577B6A64" w14:textId="77777777" w:rsidTr="00BA1CD0">
        <w:trPr>
          <w:trHeight w:val="1104"/>
        </w:trPr>
        <w:tc>
          <w:tcPr>
            <w:tcW w:w="1587" w:type="dxa"/>
            <w:vMerge/>
            <w:tcBorders>
              <w:top w:val="nil"/>
              <w:left w:val="single" w:sz="4" w:space="0" w:color="auto"/>
              <w:bottom w:val="single" w:sz="4" w:space="0" w:color="auto"/>
              <w:right w:val="single" w:sz="4" w:space="0" w:color="auto"/>
            </w:tcBorders>
            <w:vAlign w:val="center"/>
            <w:hideMark/>
          </w:tcPr>
          <w:p w14:paraId="6F3D79CD"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2476999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Готовност за прилагане на устойчиви практики</w:t>
            </w:r>
          </w:p>
        </w:tc>
        <w:tc>
          <w:tcPr>
            <w:tcW w:w="1903" w:type="dxa"/>
            <w:tcBorders>
              <w:top w:val="nil"/>
              <w:left w:val="nil"/>
              <w:bottom w:val="single" w:sz="4" w:space="0" w:color="auto"/>
              <w:right w:val="single" w:sz="4" w:space="0" w:color="auto"/>
            </w:tcBorders>
            <w:vAlign w:val="center"/>
            <w:hideMark/>
          </w:tcPr>
          <w:p w14:paraId="74EF3A40"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Дял на стопанствата, готови да инвестират в устойчиви практики в рамките на 1–3 г. (%)</w:t>
            </w:r>
          </w:p>
        </w:tc>
        <w:tc>
          <w:tcPr>
            <w:tcW w:w="1919" w:type="dxa"/>
            <w:tcBorders>
              <w:top w:val="nil"/>
              <w:left w:val="nil"/>
              <w:bottom w:val="single" w:sz="4" w:space="0" w:color="auto"/>
              <w:right w:val="single" w:sz="4" w:space="0" w:color="auto"/>
            </w:tcBorders>
            <w:vAlign w:val="center"/>
            <w:hideMark/>
          </w:tcPr>
          <w:p w14:paraId="189AA7E2"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Анкетно проучване; фокус групи</w:t>
            </w:r>
          </w:p>
        </w:tc>
        <w:tc>
          <w:tcPr>
            <w:tcW w:w="1371" w:type="dxa"/>
            <w:tcBorders>
              <w:top w:val="nil"/>
              <w:left w:val="nil"/>
              <w:bottom w:val="single" w:sz="4" w:space="0" w:color="auto"/>
              <w:right w:val="single" w:sz="4" w:space="0" w:color="auto"/>
            </w:tcBorders>
            <w:vAlign w:val="center"/>
            <w:hideMark/>
          </w:tcPr>
          <w:p w14:paraId="00273BAF"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Сектор</w:t>
            </w:r>
          </w:p>
        </w:tc>
        <w:tc>
          <w:tcPr>
            <w:tcW w:w="1099" w:type="dxa"/>
            <w:tcBorders>
              <w:top w:val="nil"/>
              <w:left w:val="nil"/>
              <w:bottom w:val="single" w:sz="4" w:space="0" w:color="auto"/>
              <w:right w:val="single" w:sz="4" w:space="0" w:color="auto"/>
            </w:tcBorders>
            <w:vAlign w:val="center"/>
            <w:hideMark/>
          </w:tcPr>
          <w:p w14:paraId="7C294CFC"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2A3E6153" w14:textId="77777777" w:rsidTr="00BA1CD0">
        <w:trPr>
          <w:trHeight w:val="1380"/>
        </w:trPr>
        <w:tc>
          <w:tcPr>
            <w:tcW w:w="1587" w:type="dxa"/>
            <w:vMerge/>
            <w:tcBorders>
              <w:top w:val="nil"/>
              <w:left w:val="single" w:sz="4" w:space="0" w:color="auto"/>
              <w:bottom w:val="single" w:sz="4" w:space="0" w:color="auto"/>
              <w:right w:val="single" w:sz="4" w:space="0" w:color="auto"/>
            </w:tcBorders>
            <w:vAlign w:val="center"/>
            <w:hideMark/>
          </w:tcPr>
          <w:p w14:paraId="34AD5685"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78DCFE2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Финансови и институционални бариери</w:t>
            </w:r>
          </w:p>
        </w:tc>
        <w:tc>
          <w:tcPr>
            <w:tcW w:w="1903" w:type="dxa"/>
            <w:tcBorders>
              <w:top w:val="nil"/>
              <w:left w:val="nil"/>
              <w:bottom w:val="single" w:sz="4" w:space="0" w:color="auto"/>
              <w:right w:val="single" w:sz="4" w:space="0" w:color="auto"/>
            </w:tcBorders>
            <w:vAlign w:val="center"/>
            <w:hideMark/>
          </w:tcPr>
          <w:p w14:paraId="510E6C0A"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 xml:space="preserve">Дял на стопаните, посочващи финансови / информационни / регулаторни </w:t>
            </w:r>
            <w:r w:rsidRPr="00C21864">
              <w:rPr>
                <w:rFonts w:ascii="Times New Roman" w:eastAsia="Times New Roman" w:hAnsi="Times New Roman" w:cs="Times New Roman"/>
                <w:color w:val="000000"/>
              </w:rPr>
              <w:lastRenderedPageBreak/>
              <w:t>бариери като водеща пречка (%)</w:t>
            </w:r>
          </w:p>
        </w:tc>
        <w:tc>
          <w:tcPr>
            <w:tcW w:w="1919" w:type="dxa"/>
            <w:tcBorders>
              <w:top w:val="nil"/>
              <w:left w:val="nil"/>
              <w:bottom w:val="single" w:sz="4" w:space="0" w:color="auto"/>
              <w:right w:val="single" w:sz="4" w:space="0" w:color="auto"/>
            </w:tcBorders>
            <w:vAlign w:val="center"/>
            <w:hideMark/>
          </w:tcPr>
          <w:p w14:paraId="3153A80E"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lastRenderedPageBreak/>
              <w:t>Анкетно проучване; фокус групи</w:t>
            </w:r>
          </w:p>
        </w:tc>
        <w:tc>
          <w:tcPr>
            <w:tcW w:w="1371" w:type="dxa"/>
            <w:tcBorders>
              <w:top w:val="nil"/>
              <w:left w:val="nil"/>
              <w:bottom w:val="single" w:sz="4" w:space="0" w:color="auto"/>
              <w:right w:val="single" w:sz="4" w:space="0" w:color="auto"/>
            </w:tcBorders>
            <w:vAlign w:val="center"/>
            <w:hideMark/>
          </w:tcPr>
          <w:p w14:paraId="7162F48E"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Сектор</w:t>
            </w:r>
          </w:p>
        </w:tc>
        <w:tc>
          <w:tcPr>
            <w:tcW w:w="1099" w:type="dxa"/>
            <w:tcBorders>
              <w:top w:val="nil"/>
              <w:left w:val="nil"/>
              <w:bottom w:val="single" w:sz="4" w:space="0" w:color="auto"/>
              <w:right w:val="single" w:sz="4" w:space="0" w:color="auto"/>
            </w:tcBorders>
            <w:vAlign w:val="center"/>
            <w:hideMark/>
          </w:tcPr>
          <w:p w14:paraId="7C4CD2C2"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6D881B11" w14:textId="77777777" w:rsidTr="00BA1CD0">
        <w:trPr>
          <w:trHeight w:val="1656"/>
        </w:trPr>
        <w:tc>
          <w:tcPr>
            <w:tcW w:w="1587" w:type="dxa"/>
            <w:vMerge w:val="restart"/>
            <w:tcBorders>
              <w:top w:val="nil"/>
              <w:left w:val="single" w:sz="4" w:space="0" w:color="auto"/>
              <w:bottom w:val="single" w:sz="4" w:space="0" w:color="auto"/>
              <w:right w:val="single" w:sz="4" w:space="0" w:color="auto"/>
            </w:tcBorders>
            <w:vAlign w:val="center"/>
            <w:hideMark/>
          </w:tcPr>
          <w:p w14:paraId="362888F1"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Стратегическа позиция</w:t>
            </w:r>
          </w:p>
        </w:tc>
        <w:tc>
          <w:tcPr>
            <w:tcW w:w="1967" w:type="dxa"/>
            <w:tcBorders>
              <w:top w:val="nil"/>
              <w:left w:val="nil"/>
              <w:bottom w:val="single" w:sz="4" w:space="0" w:color="auto"/>
              <w:right w:val="single" w:sz="4" w:space="0" w:color="auto"/>
            </w:tcBorders>
            <w:vAlign w:val="center"/>
            <w:hideMark/>
          </w:tcPr>
          <w:p w14:paraId="4C1A4C95"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Вътрешни силни страни</w:t>
            </w:r>
          </w:p>
        </w:tc>
        <w:tc>
          <w:tcPr>
            <w:tcW w:w="1903" w:type="dxa"/>
            <w:tcBorders>
              <w:top w:val="nil"/>
              <w:left w:val="nil"/>
              <w:bottom w:val="single" w:sz="4" w:space="0" w:color="auto"/>
              <w:right w:val="single" w:sz="4" w:space="0" w:color="auto"/>
            </w:tcBorders>
            <w:vAlign w:val="center"/>
            <w:hideMark/>
          </w:tcPr>
          <w:p w14:paraId="27F8D176"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Идентифицирани конкурентни предимства на сектора, систематизирани по категории чрез SWOT матрица</w:t>
            </w:r>
          </w:p>
        </w:tc>
        <w:tc>
          <w:tcPr>
            <w:tcW w:w="1919" w:type="dxa"/>
            <w:tcBorders>
              <w:top w:val="nil"/>
              <w:left w:val="nil"/>
              <w:bottom w:val="single" w:sz="4" w:space="0" w:color="auto"/>
              <w:right w:val="single" w:sz="4" w:space="0" w:color="auto"/>
            </w:tcBorders>
            <w:vAlign w:val="center"/>
            <w:hideMark/>
          </w:tcPr>
          <w:p w14:paraId="0F8873D6"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SWOT анализ, верифициран чрез анкетни резултати</w:t>
            </w:r>
          </w:p>
        </w:tc>
        <w:tc>
          <w:tcPr>
            <w:tcW w:w="1371" w:type="dxa"/>
            <w:tcBorders>
              <w:top w:val="nil"/>
              <w:left w:val="nil"/>
              <w:bottom w:val="single" w:sz="4" w:space="0" w:color="auto"/>
              <w:right w:val="single" w:sz="4" w:space="0" w:color="auto"/>
            </w:tcBorders>
            <w:vAlign w:val="center"/>
            <w:hideMark/>
          </w:tcPr>
          <w:p w14:paraId="00D095AA"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Сектор</w:t>
            </w:r>
          </w:p>
        </w:tc>
        <w:tc>
          <w:tcPr>
            <w:tcW w:w="1099" w:type="dxa"/>
            <w:tcBorders>
              <w:top w:val="nil"/>
              <w:left w:val="nil"/>
              <w:bottom w:val="single" w:sz="4" w:space="0" w:color="auto"/>
              <w:right w:val="single" w:sz="4" w:space="0" w:color="auto"/>
            </w:tcBorders>
            <w:vAlign w:val="center"/>
            <w:hideMark/>
          </w:tcPr>
          <w:p w14:paraId="5D0A41B8"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0D97CA77" w14:textId="77777777" w:rsidTr="00BA1CD0">
        <w:trPr>
          <w:trHeight w:val="1380"/>
        </w:trPr>
        <w:tc>
          <w:tcPr>
            <w:tcW w:w="1587" w:type="dxa"/>
            <w:vMerge/>
            <w:tcBorders>
              <w:top w:val="nil"/>
              <w:left w:val="single" w:sz="4" w:space="0" w:color="auto"/>
              <w:bottom w:val="single" w:sz="4" w:space="0" w:color="auto"/>
              <w:right w:val="single" w:sz="4" w:space="0" w:color="auto"/>
            </w:tcBorders>
            <w:vAlign w:val="center"/>
            <w:hideMark/>
          </w:tcPr>
          <w:p w14:paraId="19833DB6"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5AE31D32"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Вътрешни слаби страни</w:t>
            </w:r>
          </w:p>
        </w:tc>
        <w:tc>
          <w:tcPr>
            <w:tcW w:w="1903" w:type="dxa"/>
            <w:tcBorders>
              <w:top w:val="nil"/>
              <w:left w:val="nil"/>
              <w:bottom w:val="single" w:sz="4" w:space="0" w:color="auto"/>
              <w:right w:val="single" w:sz="4" w:space="0" w:color="auto"/>
            </w:tcBorders>
            <w:vAlign w:val="center"/>
            <w:hideMark/>
          </w:tcPr>
          <w:p w14:paraId="55E3FC3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Идентифицирани структурни ограничения, систематизирани по категории чрез SWOT матрица</w:t>
            </w:r>
          </w:p>
        </w:tc>
        <w:tc>
          <w:tcPr>
            <w:tcW w:w="1919" w:type="dxa"/>
            <w:tcBorders>
              <w:top w:val="nil"/>
              <w:left w:val="nil"/>
              <w:bottom w:val="single" w:sz="4" w:space="0" w:color="auto"/>
              <w:right w:val="single" w:sz="4" w:space="0" w:color="auto"/>
            </w:tcBorders>
            <w:vAlign w:val="center"/>
            <w:hideMark/>
          </w:tcPr>
          <w:p w14:paraId="264F2617"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SWOT анализ, верифициран чрез анкетни резултати</w:t>
            </w:r>
          </w:p>
        </w:tc>
        <w:tc>
          <w:tcPr>
            <w:tcW w:w="1371" w:type="dxa"/>
            <w:tcBorders>
              <w:top w:val="nil"/>
              <w:left w:val="nil"/>
              <w:bottom w:val="single" w:sz="4" w:space="0" w:color="auto"/>
              <w:right w:val="single" w:sz="4" w:space="0" w:color="auto"/>
            </w:tcBorders>
            <w:vAlign w:val="center"/>
            <w:hideMark/>
          </w:tcPr>
          <w:p w14:paraId="457519F8"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Сектор</w:t>
            </w:r>
          </w:p>
        </w:tc>
        <w:tc>
          <w:tcPr>
            <w:tcW w:w="1099" w:type="dxa"/>
            <w:tcBorders>
              <w:top w:val="nil"/>
              <w:left w:val="nil"/>
              <w:bottom w:val="single" w:sz="4" w:space="0" w:color="auto"/>
              <w:right w:val="single" w:sz="4" w:space="0" w:color="auto"/>
            </w:tcBorders>
            <w:vAlign w:val="center"/>
            <w:hideMark/>
          </w:tcPr>
          <w:p w14:paraId="3872223A"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1F38B9DE" w14:textId="77777777" w:rsidTr="00BA1CD0">
        <w:trPr>
          <w:trHeight w:val="1380"/>
        </w:trPr>
        <w:tc>
          <w:tcPr>
            <w:tcW w:w="1587" w:type="dxa"/>
            <w:vMerge/>
            <w:tcBorders>
              <w:top w:val="nil"/>
              <w:left w:val="single" w:sz="4" w:space="0" w:color="auto"/>
              <w:bottom w:val="single" w:sz="4" w:space="0" w:color="auto"/>
              <w:right w:val="single" w:sz="4" w:space="0" w:color="auto"/>
            </w:tcBorders>
            <w:vAlign w:val="center"/>
            <w:hideMark/>
          </w:tcPr>
          <w:p w14:paraId="133EDDF9"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6DD6496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Външни възможности</w:t>
            </w:r>
          </w:p>
        </w:tc>
        <w:tc>
          <w:tcPr>
            <w:tcW w:w="1903" w:type="dxa"/>
            <w:tcBorders>
              <w:top w:val="nil"/>
              <w:left w:val="nil"/>
              <w:bottom w:val="single" w:sz="4" w:space="0" w:color="auto"/>
              <w:right w:val="single" w:sz="4" w:space="0" w:color="auto"/>
            </w:tcBorders>
            <w:vAlign w:val="center"/>
            <w:hideMark/>
          </w:tcPr>
          <w:p w14:paraId="50CB249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Идентифицирани регулаторни и пазарни възможности от Зелената сделка, систематизирани чрез SWOT матрица</w:t>
            </w:r>
          </w:p>
        </w:tc>
        <w:tc>
          <w:tcPr>
            <w:tcW w:w="1919" w:type="dxa"/>
            <w:tcBorders>
              <w:top w:val="nil"/>
              <w:left w:val="nil"/>
              <w:bottom w:val="single" w:sz="4" w:space="0" w:color="auto"/>
              <w:right w:val="single" w:sz="4" w:space="0" w:color="auto"/>
            </w:tcBorders>
            <w:vAlign w:val="center"/>
            <w:hideMark/>
          </w:tcPr>
          <w:p w14:paraId="1C46F6BE"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SWOT анализ</w:t>
            </w:r>
          </w:p>
        </w:tc>
        <w:tc>
          <w:tcPr>
            <w:tcW w:w="1371" w:type="dxa"/>
            <w:tcBorders>
              <w:top w:val="nil"/>
              <w:left w:val="nil"/>
              <w:bottom w:val="single" w:sz="4" w:space="0" w:color="auto"/>
              <w:right w:val="single" w:sz="4" w:space="0" w:color="auto"/>
            </w:tcBorders>
            <w:vAlign w:val="center"/>
            <w:hideMark/>
          </w:tcPr>
          <w:p w14:paraId="69749A9B"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Сектор</w:t>
            </w:r>
          </w:p>
        </w:tc>
        <w:tc>
          <w:tcPr>
            <w:tcW w:w="1099" w:type="dxa"/>
            <w:tcBorders>
              <w:top w:val="nil"/>
              <w:left w:val="nil"/>
              <w:bottom w:val="single" w:sz="4" w:space="0" w:color="auto"/>
              <w:right w:val="single" w:sz="4" w:space="0" w:color="auto"/>
            </w:tcBorders>
            <w:vAlign w:val="center"/>
            <w:hideMark/>
          </w:tcPr>
          <w:p w14:paraId="395C265E"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4F5D8F42" w14:textId="77777777" w:rsidTr="00BA1CD0">
        <w:trPr>
          <w:trHeight w:val="1380"/>
        </w:trPr>
        <w:tc>
          <w:tcPr>
            <w:tcW w:w="1587" w:type="dxa"/>
            <w:vMerge/>
            <w:tcBorders>
              <w:top w:val="nil"/>
              <w:left w:val="single" w:sz="4" w:space="0" w:color="auto"/>
              <w:bottom w:val="single" w:sz="4" w:space="0" w:color="auto"/>
              <w:right w:val="single" w:sz="4" w:space="0" w:color="auto"/>
            </w:tcBorders>
            <w:vAlign w:val="center"/>
            <w:hideMark/>
          </w:tcPr>
          <w:p w14:paraId="5E3F4BB2"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3D47C188"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Външни заплахи</w:t>
            </w:r>
          </w:p>
        </w:tc>
        <w:tc>
          <w:tcPr>
            <w:tcW w:w="1903" w:type="dxa"/>
            <w:tcBorders>
              <w:top w:val="nil"/>
              <w:left w:val="nil"/>
              <w:bottom w:val="single" w:sz="4" w:space="0" w:color="auto"/>
              <w:right w:val="single" w:sz="4" w:space="0" w:color="auto"/>
            </w:tcBorders>
            <w:vAlign w:val="center"/>
            <w:hideMark/>
          </w:tcPr>
          <w:p w14:paraId="04D85E65"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Идентифицирани рискове и заплахи от прилагането на Зелената сделка, систематизирани чрез SWOT матрица</w:t>
            </w:r>
          </w:p>
        </w:tc>
        <w:tc>
          <w:tcPr>
            <w:tcW w:w="1919" w:type="dxa"/>
            <w:tcBorders>
              <w:top w:val="nil"/>
              <w:left w:val="nil"/>
              <w:bottom w:val="single" w:sz="4" w:space="0" w:color="auto"/>
              <w:right w:val="single" w:sz="4" w:space="0" w:color="auto"/>
            </w:tcBorders>
            <w:vAlign w:val="center"/>
            <w:hideMark/>
          </w:tcPr>
          <w:p w14:paraId="7BA9EFF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SWOT анализ</w:t>
            </w:r>
          </w:p>
        </w:tc>
        <w:tc>
          <w:tcPr>
            <w:tcW w:w="1371" w:type="dxa"/>
            <w:tcBorders>
              <w:top w:val="nil"/>
              <w:left w:val="nil"/>
              <w:bottom w:val="single" w:sz="4" w:space="0" w:color="auto"/>
              <w:right w:val="single" w:sz="4" w:space="0" w:color="auto"/>
            </w:tcBorders>
            <w:vAlign w:val="center"/>
            <w:hideMark/>
          </w:tcPr>
          <w:p w14:paraId="41674460"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Сектор</w:t>
            </w:r>
          </w:p>
        </w:tc>
        <w:tc>
          <w:tcPr>
            <w:tcW w:w="1099" w:type="dxa"/>
            <w:tcBorders>
              <w:top w:val="nil"/>
              <w:left w:val="nil"/>
              <w:bottom w:val="single" w:sz="4" w:space="0" w:color="auto"/>
              <w:right w:val="single" w:sz="4" w:space="0" w:color="auto"/>
            </w:tcBorders>
            <w:vAlign w:val="center"/>
            <w:hideMark/>
          </w:tcPr>
          <w:p w14:paraId="31B6DD8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Х2</w:t>
            </w:r>
          </w:p>
        </w:tc>
      </w:tr>
      <w:tr w:rsidR="00B6720D" w:rsidRPr="00C21864" w14:paraId="08EBC346" w14:textId="77777777" w:rsidTr="00BA1CD0">
        <w:trPr>
          <w:trHeight w:val="1104"/>
        </w:trPr>
        <w:tc>
          <w:tcPr>
            <w:tcW w:w="1587" w:type="dxa"/>
            <w:vMerge w:val="restart"/>
            <w:tcBorders>
              <w:top w:val="nil"/>
              <w:left w:val="single" w:sz="4" w:space="0" w:color="auto"/>
              <w:bottom w:val="single" w:sz="4" w:space="0" w:color="auto"/>
              <w:right w:val="single" w:sz="4" w:space="0" w:color="auto"/>
            </w:tcBorders>
            <w:vAlign w:val="center"/>
            <w:hideMark/>
          </w:tcPr>
          <w:p w14:paraId="534DC38C"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Сценарийна прогноза</w:t>
            </w:r>
          </w:p>
        </w:tc>
        <w:tc>
          <w:tcPr>
            <w:tcW w:w="1967" w:type="dxa"/>
            <w:tcBorders>
              <w:top w:val="nil"/>
              <w:left w:val="nil"/>
              <w:bottom w:val="single" w:sz="4" w:space="0" w:color="auto"/>
              <w:right w:val="single" w:sz="4" w:space="0" w:color="auto"/>
            </w:tcBorders>
            <w:vAlign w:val="center"/>
            <w:hideMark/>
          </w:tcPr>
          <w:p w14:paraId="6953B344"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Динамика на употребата на минерални торове</w:t>
            </w:r>
          </w:p>
        </w:tc>
        <w:tc>
          <w:tcPr>
            <w:tcW w:w="1903" w:type="dxa"/>
            <w:tcBorders>
              <w:top w:val="nil"/>
              <w:left w:val="nil"/>
              <w:bottom w:val="single" w:sz="4" w:space="0" w:color="auto"/>
              <w:right w:val="single" w:sz="4" w:space="0" w:color="auto"/>
            </w:tcBorders>
            <w:vAlign w:val="center"/>
            <w:hideMark/>
          </w:tcPr>
          <w:p w14:paraId="4B1116A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Прогнозен обем (тонове активно вещество)</w:t>
            </w:r>
          </w:p>
        </w:tc>
        <w:tc>
          <w:tcPr>
            <w:tcW w:w="1919" w:type="dxa"/>
            <w:tcBorders>
              <w:top w:val="nil"/>
              <w:left w:val="nil"/>
              <w:bottom w:val="single" w:sz="4" w:space="0" w:color="auto"/>
              <w:right w:val="single" w:sz="4" w:space="0" w:color="auto"/>
            </w:tcBorders>
            <w:vAlign w:val="center"/>
            <w:hideMark/>
          </w:tcPr>
          <w:p w14:paraId="699E4A5F"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Стохастичен сценариен модел с трендова екстраполация</w:t>
            </w:r>
          </w:p>
        </w:tc>
        <w:tc>
          <w:tcPr>
            <w:tcW w:w="1371" w:type="dxa"/>
            <w:tcBorders>
              <w:top w:val="nil"/>
              <w:left w:val="nil"/>
              <w:bottom w:val="single" w:sz="4" w:space="0" w:color="auto"/>
              <w:right w:val="single" w:sz="4" w:space="0" w:color="auto"/>
            </w:tcBorders>
            <w:vAlign w:val="center"/>
            <w:hideMark/>
          </w:tcPr>
          <w:p w14:paraId="7898129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Национално</w:t>
            </w:r>
          </w:p>
        </w:tc>
        <w:tc>
          <w:tcPr>
            <w:tcW w:w="1099" w:type="dxa"/>
            <w:tcBorders>
              <w:top w:val="nil"/>
              <w:left w:val="nil"/>
              <w:bottom w:val="single" w:sz="4" w:space="0" w:color="auto"/>
              <w:right w:val="single" w:sz="4" w:space="0" w:color="auto"/>
            </w:tcBorders>
            <w:vAlign w:val="center"/>
            <w:hideMark/>
          </w:tcPr>
          <w:p w14:paraId="7D0D791A"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Х3</w:t>
            </w:r>
          </w:p>
        </w:tc>
      </w:tr>
      <w:tr w:rsidR="00B6720D" w:rsidRPr="00C21864" w14:paraId="4A08A75F" w14:textId="77777777" w:rsidTr="00BA1CD0">
        <w:trPr>
          <w:trHeight w:val="828"/>
        </w:trPr>
        <w:tc>
          <w:tcPr>
            <w:tcW w:w="1587" w:type="dxa"/>
            <w:vMerge/>
            <w:tcBorders>
              <w:top w:val="nil"/>
              <w:left w:val="single" w:sz="4" w:space="0" w:color="auto"/>
              <w:bottom w:val="single" w:sz="4" w:space="0" w:color="auto"/>
              <w:right w:val="single" w:sz="4" w:space="0" w:color="auto"/>
            </w:tcBorders>
            <w:vAlign w:val="center"/>
            <w:hideMark/>
          </w:tcPr>
          <w:p w14:paraId="57AF0C66"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717B9931"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Динамика на употребата на ветеринарни антибиотици</w:t>
            </w:r>
          </w:p>
        </w:tc>
        <w:tc>
          <w:tcPr>
            <w:tcW w:w="1903" w:type="dxa"/>
            <w:tcBorders>
              <w:top w:val="nil"/>
              <w:left w:val="nil"/>
              <w:bottom w:val="single" w:sz="4" w:space="0" w:color="auto"/>
              <w:right w:val="single" w:sz="4" w:space="0" w:color="auto"/>
            </w:tcBorders>
            <w:vAlign w:val="center"/>
            <w:hideMark/>
          </w:tcPr>
          <w:p w14:paraId="2DB0DB79"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 xml:space="preserve">Прогнозен обем продадени антибиотици (тонове) </w:t>
            </w:r>
          </w:p>
        </w:tc>
        <w:tc>
          <w:tcPr>
            <w:tcW w:w="1919" w:type="dxa"/>
            <w:tcBorders>
              <w:top w:val="nil"/>
              <w:left w:val="nil"/>
              <w:bottom w:val="single" w:sz="4" w:space="0" w:color="auto"/>
              <w:right w:val="single" w:sz="4" w:space="0" w:color="auto"/>
            </w:tcBorders>
            <w:vAlign w:val="center"/>
            <w:hideMark/>
          </w:tcPr>
          <w:p w14:paraId="74E06F5F"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Стохастичен сценариен модел</w:t>
            </w:r>
          </w:p>
        </w:tc>
        <w:tc>
          <w:tcPr>
            <w:tcW w:w="1371" w:type="dxa"/>
            <w:tcBorders>
              <w:top w:val="nil"/>
              <w:left w:val="nil"/>
              <w:bottom w:val="single" w:sz="4" w:space="0" w:color="auto"/>
              <w:right w:val="single" w:sz="4" w:space="0" w:color="auto"/>
            </w:tcBorders>
            <w:vAlign w:val="center"/>
            <w:hideMark/>
          </w:tcPr>
          <w:p w14:paraId="611D751D"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Национално</w:t>
            </w:r>
          </w:p>
        </w:tc>
        <w:tc>
          <w:tcPr>
            <w:tcW w:w="1099" w:type="dxa"/>
            <w:tcBorders>
              <w:top w:val="nil"/>
              <w:left w:val="nil"/>
              <w:bottom w:val="single" w:sz="4" w:space="0" w:color="auto"/>
              <w:right w:val="single" w:sz="4" w:space="0" w:color="auto"/>
            </w:tcBorders>
            <w:vAlign w:val="center"/>
            <w:hideMark/>
          </w:tcPr>
          <w:p w14:paraId="4222BF10"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Х3</w:t>
            </w:r>
          </w:p>
        </w:tc>
      </w:tr>
      <w:tr w:rsidR="00B6720D" w:rsidRPr="00C21864" w14:paraId="22357C22" w14:textId="77777777" w:rsidTr="00BA1CD0">
        <w:trPr>
          <w:trHeight w:val="1380"/>
        </w:trPr>
        <w:tc>
          <w:tcPr>
            <w:tcW w:w="1587" w:type="dxa"/>
            <w:vMerge w:val="restart"/>
            <w:tcBorders>
              <w:top w:val="nil"/>
              <w:left w:val="single" w:sz="4" w:space="0" w:color="auto"/>
              <w:bottom w:val="single" w:sz="4" w:space="0" w:color="auto"/>
              <w:right w:val="single" w:sz="4" w:space="0" w:color="auto"/>
            </w:tcBorders>
            <w:vAlign w:val="center"/>
            <w:hideMark/>
          </w:tcPr>
          <w:p w14:paraId="4909CA31"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lastRenderedPageBreak/>
              <w:t xml:space="preserve">Структурна зависимост — брой стопанства и </w:t>
            </w:r>
            <w:r>
              <w:rPr>
                <w:rFonts w:ascii="Times New Roman" w:eastAsia="Times New Roman" w:hAnsi="Times New Roman" w:cs="Times New Roman"/>
                <w:color w:val="000000"/>
                <w:lang w:val="bg-BG"/>
              </w:rPr>
              <w:t xml:space="preserve">количество </w:t>
            </w:r>
            <w:r w:rsidRPr="00C21864">
              <w:rPr>
                <w:rFonts w:ascii="Times New Roman" w:eastAsia="Times New Roman" w:hAnsi="Times New Roman" w:cs="Times New Roman"/>
                <w:color w:val="000000"/>
              </w:rPr>
              <w:t>торове</w:t>
            </w:r>
          </w:p>
        </w:tc>
        <w:tc>
          <w:tcPr>
            <w:tcW w:w="1967" w:type="dxa"/>
            <w:tcBorders>
              <w:top w:val="nil"/>
              <w:left w:val="nil"/>
              <w:bottom w:val="single" w:sz="4" w:space="0" w:color="auto"/>
              <w:right w:val="single" w:sz="4" w:space="0" w:color="auto"/>
            </w:tcBorders>
            <w:vAlign w:val="center"/>
            <w:hideMark/>
          </w:tcPr>
          <w:p w14:paraId="179E9C1C"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Теснота на зависимостта между употреба на минерални торове и брой стопанства, одобрени за директни плащания</w:t>
            </w:r>
          </w:p>
        </w:tc>
        <w:tc>
          <w:tcPr>
            <w:tcW w:w="1903" w:type="dxa"/>
            <w:tcBorders>
              <w:top w:val="nil"/>
              <w:left w:val="nil"/>
              <w:bottom w:val="single" w:sz="4" w:space="0" w:color="auto"/>
              <w:right w:val="single" w:sz="4" w:space="0" w:color="auto"/>
            </w:tcBorders>
            <w:vAlign w:val="center"/>
            <w:hideMark/>
          </w:tcPr>
          <w:p w14:paraId="3AD79DA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 xml:space="preserve">Коефициент на корелация на Пиърсън </w:t>
            </w:r>
          </w:p>
        </w:tc>
        <w:tc>
          <w:tcPr>
            <w:tcW w:w="1919" w:type="dxa"/>
            <w:tcBorders>
              <w:top w:val="nil"/>
              <w:left w:val="nil"/>
              <w:bottom w:val="single" w:sz="4" w:space="0" w:color="auto"/>
              <w:right w:val="single" w:sz="4" w:space="0" w:color="auto"/>
            </w:tcBorders>
            <w:vAlign w:val="center"/>
            <w:hideMark/>
          </w:tcPr>
          <w:p w14:paraId="7CC74A48"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Корелационен анализ</w:t>
            </w:r>
          </w:p>
        </w:tc>
        <w:tc>
          <w:tcPr>
            <w:tcW w:w="1371" w:type="dxa"/>
            <w:tcBorders>
              <w:top w:val="nil"/>
              <w:left w:val="nil"/>
              <w:bottom w:val="single" w:sz="4" w:space="0" w:color="auto"/>
              <w:right w:val="single" w:sz="4" w:space="0" w:color="auto"/>
            </w:tcBorders>
            <w:vAlign w:val="center"/>
            <w:hideMark/>
          </w:tcPr>
          <w:p w14:paraId="0479A4B8"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Национално</w:t>
            </w:r>
          </w:p>
        </w:tc>
        <w:tc>
          <w:tcPr>
            <w:tcW w:w="1099" w:type="dxa"/>
            <w:tcBorders>
              <w:top w:val="nil"/>
              <w:left w:val="nil"/>
              <w:bottom w:val="single" w:sz="4" w:space="0" w:color="auto"/>
              <w:right w:val="single" w:sz="4" w:space="0" w:color="auto"/>
            </w:tcBorders>
            <w:vAlign w:val="center"/>
            <w:hideMark/>
          </w:tcPr>
          <w:p w14:paraId="49B0E45C"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Х4</w:t>
            </w:r>
          </w:p>
        </w:tc>
      </w:tr>
      <w:tr w:rsidR="00B6720D" w:rsidRPr="00C21864" w14:paraId="242989D9" w14:textId="77777777" w:rsidTr="00BA1CD0">
        <w:trPr>
          <w:trHeight w:val="1764"/>
        </w:trPr>
        <w:tc>
          <w:tcPr>
            <w:tcW w:w="1587" w:type="dxa"/>
            <w:vMerge/>
            <w:tcBorders>
              <w:top w:val="nil"/>
              <w:left w:val="single" w:sz="4" w:space="0" w:color="auto"/>
              <w:bottom w:val="single" w:sz="4" w:space="0" w:color="auto"/>
              <w:right w:val="single" w:sz="4" w:space="0" w:color="auto"/>
            </w:tcBorders>
            <w:vAlign w:val="center"/>
            <w:hideMark/>
          </w:tcPr>
          <w:p w14:paraId="78E7EE9A"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74B98A5F"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Дял на обяснената вариация в броя на стопанствата</w:t>
            </w:r>
          </w:p>
        </w:tc>
        <w:tc>
          <w:tcPr>
            <w:tcW w:w="1903" w:type="dxa"/>
            <w:tcBorders>
              <w:top w:val="nil"/>
              <w:left w:val="nil"/>
              <w:bottom w:val="single" w:sz="4" w:space="0" w:color="auto"/>
              <w:right w:val="single" w:sz="4" w:space="0" w:color="auto"/>
            </w:tcBorders>
            <w:vAlign w:val="center"/>
            <w:hideMark/>
          </w:tcPr>
          <w:p w14:paraId="0CFE453E"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 xml:space="preserve">Коефициент на детерминация </w:t>
            </w:r>
          </w:p>
        </w:tc>
        <w:tc>
          <w:tcPr>
            <w:tcW w:w="1919" w:type="dxa"/>
            <w:tcBorders>
              <w:top w:val="nil"/>
              <w:left w:val="nil"/>
              <w:bottom w:val="single" w:sz="4" w:space="0" w:color="auto"/>
              <w:right w:val="single" w:sz="4" w:space="0" w:color="auto"/>
            </w:tcBorders>
            <w:vAlign w:val="center"/>
            <w:hideMark/>
          </w:tcPr>
          <w:p w14:paraId="11B31034"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Детерминационен анализ</w:t>
            </w:r>
          </w:p>
        </w:tc>
        <w:tc>
          <w:tcPr>
            <w:tcW w:w="1371" w:type="dxa"/>
            <w:tcBorders>
              <w:top w:val="nil"/>
              <w:left w:val="nil"/>
              <w:bottom w:val="single" w:sz="4" w:space="0" w:color="auto"/>
              <w:right w:val="single" w:sz="4" w:space="0" w:color="auto"/>
            </w:tcBorders>
            <w:vAlign w:val="center"/>
            <w:hideMark/>
          </w:tcPr>
          <w:p w14:paraId="1D81429B"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Национално</w:t>
            </w:r>
          </w:p>
        </w:tc>
        <w:tc>
          <w:tcPr>
            <w:tcW w:w="1099" w:type="dxa"/>
            <w:tcBorders>
              <w:top w:val="nil"/>
              <w:left w:val="nil"/>
              <w:bottom w:val="single" w:sz="4" w:space="0" w:color="auto"/>
              <w:right w:val="single" w:sz="4" w:space="0" w:color="auto"/>
            </w:tcBorders>
            <w:vAlign w:val="center"/>
            <w:hideMark/>
          </w:tcPr>
          <w:p w14:paraId="02E4F221"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Х4</w:t>
            </w:r>
          </w:p>
        </w:tc>
      </w:tr>
      <w:tr w:rsidR="00B6720D" w:rsidRPr="00C21864" w14:paraId="442EFDF4" w14:textId="77777777" w:rsidTr="00BA1CD0">
        <w:trPr>
          <w:trHeight w:val="696"/>
        </w:trPr>
        <w:tc>
          <w:tcPr>
            <w:tcW w:w="1587" w:type="dxa"/>
            <w:vMerge/>
            <w:tcBorders>
              <w:top w:val="nil"/>
              <w:left w:val="single" w:sz="4" w:space="0" w:color="auto"/>
              <w:bottom w:val="single" w:sz="4" w:space="0" w:color="auto"/>
              <w:right w:val="single" w:sz="4" w:space="0" w:color="auto"/>
            </w:tcBorders>
            <w:vAlign w:val="center"/>
            <w:hideMark/>
          </w:tcPr>
          <w:p w14:paraId="689A039A" w14:textId="77777777" w:rsidR="00B6720D" w:rsidRPr="00C21864" w:rsidRDefault="00B6720D" w:rsidP="00BA1CD0">
            <w:pPr>
              <w:spacing w:after="0" w:line="240" w:lineRule="auto"/>
              <w:rPr>
                <w:rFonts w:ascii="Times New Roman" w:eastAsia="Times New Roman" w:hAnsi="Times New Roman" w:cs="Times New Roman"/>
                <w:color w:val="000000"/>
              </w:rPr>
            </w:pPr>
          </w:p>
        </w:tc>
        <w:tc>
          <w:tcPr>
            <w:tcW w:w="1967" w:type="dxa"/>
            <w:tcBorders>
              <w:top w:val="nil"/>
              <w:left w:val="nil"/>
              <w:bottom w:val="single" w:sz="4" w:space="0" w:color="auto"/>
              <w:right w:val="single" w:sz="4" w:space="0" w:color="auto"/>
            </w:tcBorders>
            <w:vAlign w:val="center"/>
            <w:hideMark/>
          </w:tcPr>
          <w:p w14:paraId="77891D82"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Интензивност на линейната зависимост</w:t>
            </w:r>
          </w:p>
        </w:tc>
        <w:tc>
          <w:tcPr>
            <w:tcW w:w="1903" w:type="dxa"/>
            <w:tcBorders>
              <w:top w:val="nil"/>
              <w:left w:val="nil"/>
              <w:bottom w:val="single" w:sz="4" w:space="0" w:color="auto"/>
              <w:right w:val="single" w:sz="4" w:space="0" w:color="auto"/>
            </w:tcBorders>
            <w:vAlign w:val="center"/>
            <w:hideMark/>
          </w:tcPr>
          <w:p w14:paraId="623DFA03"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 xml:space="preserve">Регресионен коефициент </w:t>
            </w:r>
          </w:p>
        </w:tc>
        <w:tc>
          <w:tcPr>
            <w:tcW w:w="1919" w:type="dxa"/>
            <w:tcBorders>
              <w:top w:val="nil"/>
              <w:left w:val="nil"/>
              <w:bottom w:val="single" w:sz="4" w:space="0" w:color="auto"/>
              <w:right w:val="single" w:sz="4" w:space="0" w:color="auto"/>
            </w:tcBorders>
            <w:vAlign w:val="center"/>
            <w:hideMark/>
          </w:tcPr>
          <w:p w14:paraId="7EAD339B"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Регресионен анализ</w:t>
            </w:r>
          </w:p>
        </w:tc>
        <w:tc>
          <w:tcPr>
            <w:tcW w:w="1371" w:type="dxa"/>
            <w:tcBorders>
              <w:top w:val="nil"/>
              <w:left w:val="nil"/>
              <w:bottom w:val="single" w:sz="4" w:space="0" w:color="auto"/>
              <w:right w:val="single" w:sz="4" w:space="0" w:color="auto"/>
            </w:tcBorders>
            <w:vAlign w:val="center"/>
            <w:hideMark/>
          </w:tcPr>
          <w:p w14:paraId="55A1BE70" w14:textId="77777777" w:rsidR="00B6720D" w:rsidRPr="00C21864" w:rsidRDefault="00B6720D" w:rsidP="00BA1CD0">
            <w:pPr>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Национално</w:t>
            </w:r>
          </w:p>
        </w:tc>
        <w:tc>
          <w:tcPr>
            <w:tcW w:w="1099" w:type="dxa"/>
            <w:tcBorders>
              <w:top w:val="nil"/>
              <w:left w:val="nil"/>
              <w:bottom w:val="single" w:sz="4" w:space="0" w:color="auto"/>
              <w:right w:val="single" w:sz="4" w:space="0" w:color="auto"/>
            </w:tcBorders>
            <w:vAlign w:val="center"/>
            <w:hideMark/>
          </w:tcPr>
          <w:p w14:paraId="3913B5B7" w14:textId="77777777" w:rsidR="00B6720D" w:rsidRPr="00C21864" w:rsidRDefault="00B6720D" w:rsidP="00BA1CD0">
            <w:pPr>
              <w:keepNext/>
              <w:spacing w:after="0" w:line="240" w:lineRule="auto"/>
              <w:jc w:val="center"/>
              <w:rPr>
                <w:rFonts w:ascii="Times New Roman" w:eastAsia="Times New Roman" w:hAnsi="Times New Roman" w:cs="Times New Roman"/>
                <w:color w:val="000000"/>
              </w:rPr>
            </w:pPr>
            <w:r w:rsidRPr="00C21864">
              <w:rPr>
                <w:rFonts w:ascii="Times New Roman" w:eastAsia="Times New Roman" w:hAnsi="Times New Roman" w:cs="Times New Roman"/>
                <w:color w:val="000000"/>
              </w:rPr>
              <w:t>Х4</w:t>
            </w:r>
          </w:p>
        </w:tc>
      </w:tr>
    </w:tbl>
    <w:p w14:paraId="59D156A0" w14:textId="72E1BEFB" w:rsidR="00B6720D" w:rsidRDefault="00B6720D" w:rsidP="00B6720D">
      <w:pPr>
        <w:jc w:val="center"/>
        <w:rPr>
          <w:rFonts w:ascii="Times New Roman" w:hAnsi="Times New Roman" w:cs="Times New Roman"/>
        </w:rPr>
      </w:pPr>
      <w:r w:rsidRPr="00C21864">
        <w:rPr>
          <w:rFonts w:ascii="Times New Roman" w:hAnsi="Times New Roman" w:cs="Times New Roman"/>
          <w:lang w:val="bg-BG"/>
        </w:rPr>
        <w:t>Източници: собствена разработка</w:t>
      </w:r>
      <w:r>
        <w:rPr>
          <w:rFonts w:ascii="Times New Roman" w:hAnsi="Times New Roman" w:cs="Times New Roman"/>
          <w:lang w:val="bg-BG"/>
        </w:rPr>
        <w:t xml:space="preserve"> по данни от</w:t>
      </w:r>
      <w:r w:rsidRPr="00C21864">
        <w:rPr>
          <w:rFonts w:ascii="Times New Roman" w:hAnsi="Times New Roman" w:cs="Times New Roman"/>
          <w:lang w:val="bg-BG"/>
        </w:rPr>
        <w:t xml:space="preserve"> FADN, ДФЗ, МЗХ, БАБХ</w:t>
      </w:r>
      <w:r>
        <w:rPr>
          <w:rFonts w:ascii="Times New Roman" w:hAnsi="Times New Roman" w:cs="Times New Roman"/>
        </w:rPr>
        <w:t>.</w:t>
      </w:r>
    </w:p>
    <w:p w14:paraId="48DAC109" w14:textId="0CE9434C" w:rsidR="002B1E55" w:rsidRPr="00100B79" w:rsidRDefault="002B1E55" w:rsidP="00B6720D">
      <w:pPr>
        <w:spacing w:line="360" w:lineRule="auto"/>
        <w:ind w:firstLine="720"/>
        <w:jc w:val="both"/>
        <w:rPr>
          <w:rFonts w:ascii="Times New Roman" w:hAnsi="Times New Roman" w:cs="Times New Roman"/>
        </w:rPr>
      </w:pPr>
      <w:r w:rsidRPr="00100B79">
        <w:rPr>
          <w:rFonts w:ascii="Times New Roman" w:hAnsi="Times New Roman" w:cs="Times New Roman"/>
          <w:lang w:val="bg-BG"/>
        </w:rPr>
        <w:t xml:space="preserve">На базата на тази методологична основа се прилага SWOT анализ, който позволява стратегическа диагностика на позицията на българския аграрен сектор спрямо изискванията на Зелената сделка. Анализът идентифицира както вътрешните силни и слаби страни на стопанствата, така и външните възможности и заплахи, произтичащи от регулаторния натиск и финансовите стимули на </w:t>
      </w:r>
      <w:r w:rsidR="00100B79">
        <w:rPr>
          <w:rFonts w:ascii="Times New Roman" w:hAnsi="Times New Roman" w:cs="Times New Roman"/>
          <w:lang w:val="bg-BG"/>
        </w:rPr>
        <w:t>ОСП</w:t>
      </w:r>
      <w:r w:rsidRPr="00100B79">
        <w:rPr>
          <w:rFonts w:ascii="Times New Roman" w:hAnsi="Times New Roman" w:cs="Times New Roman"/>
          <w:lang w:val="bg-BG"/>
        </w:rPr>
        <w:t>.</w:t>
      </w:r>
    </w:p>
    <w:p w14:paraId="0B2C5A87" w14:textId="616246FE" w:rsidR="002B1E55" w:rsidRPr="002B1E55" w:rsidRDefault="002B1E55" w:rsidP="00100B79">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 xml:space="preserve">Паралелно с количествените методи се провежда анкетно проучване и фокус групи. Анкетата обхваща </w:t>
      </w:r>
      <w:r w:rsidR="00100B79">
        <w:rPr>
          <w:rFonts w:ascii="Times New Roman" w:hAnsi="Times New Roman" w:cs="Times New Roman"/>
          <w:lang w:val="bg-BG"/>
        </w:rPr>
        <w:t>92</w:t>
      </w:r>
      <w:r w:rsidRPr="002B1E55">
        <w:rPr>
          <w:rFonts w:ascii="Times New Roman" w:hAnsi="Times New Roman" w:cs="Times New Roman"/>
          <w:lang w:val="bg-BG"/>
        </w:rPr>
        <w:t xml:space="preserve"> земеделски стопанства, стратифицирани по икономически размер, NUTS-2 регион и производствена специализация според FADN типологията. Въпросникът включва въпроси за степента на информираност относно Зелената сделка, очакваното въздействие върху стопанството, прилаганите устойчиви практики и бариерите пред тяхното внедряване. Фокус групите, общо шест по един във всеки NUTS-2 регион, се провеждат по полуструктурирани сценарии, обхващащи девет тематични блока – от профила на стопанството до SWOT-ориентирани въпроси. Резултатите от анкетата и фокус групите се подлагат на кръстосан анализ и тест за стабилност по региони и стопански характеристики, което осигурява валидиране на количествените данни.</w:t>
      </w:r>
    </w:p>
    <w:p w14:paraId="50AD8BEE" w14:textId="3E62E8C1" w:rsidR="002B1E55" w:rsidRPr="002B1E55" w:rsidRDefault="002B1E55" w:rsidP="00100B79">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 xml:space="preserve">Следващата стъпка в методологичния дизайн е казусният анализ (case study). Съгласно Yin (2018), казусният метод е особено подходящ за „дълбоко разбиране на </w:t>
      </w:r>
      <w:r w:rsidRPr="002B1E55">
        <w:rPr>
          <w:rFonts w:ascii="Times New Roman" w:hAnsi="Times New Roman" w:cs="Times New Roman"/>
          <w:lang w:val="bg-BG"/>
        </w:rPr>
        <w:lastRenderedPageBreak/>
        <w:t>процесите в реални контексти“</w:t>
      </w:r>
      <w:r w:rsidR="00100B79">
        <w:rPr>
          <w:rFonts w:ascii="Times New Roman" w:hAnsi="Times New Roman" w:cs="Times New Roman"/>
          <w:lang w:val="bg-BG"/>
        </w:rPr>
        <w:t xml:space="preserve"> на стопанствата</w:t>
      </w:r>
      <w:r w:rsidRPr="002B1E55">
        <w:rPr>
          <w:rFonts w:ascii="Times New Roman" w:hAnsi="Times New Roman" w:cs="Times New Roman"/>
          <w:lang w:val="bg-BG"/>
        </w:rPr>
        <w:t>. Избрани са три стопанства, представляващи различни типове по размер и специализация.</w:t>
      </w:r>
      <w:r w:rsidR="00100B79">
        <w:rPr>
          <w:rFonts w:ascii="Times New Roman" w:hAnsi="Times New Roman" w:cs="Times New Roman"/>
          <w:lang w:val="bg-BG"/>
        </w:rPr>
        <w:t xml:space="preserve"> </w:t>
      </w:r>
      <w:r w:rsidRPr="002B1E55">
        <w:rPr>
          <w:rFonts w:ascii="Times New Roman" w:hAnsi="Times New Roman" w:cs="Times New Roman"/>
          <w:lang w:val="bg-BG"/>
        </w:rPr>
        <w:t>Първият казус обхваща индустриално зърнопроизводствено стопанство с икономически размер над 500 000 EUR, локализирано в Североизточен район (NUTS-2, BG33). В него се провеждат експерименти с конвенционално и безорно почвообработване, различни схеми на торене при пшеница, царевица и слънчоглед, както и приложение на покривни култури.</w:t>
      </w:r>
      <w:r w:rsidR="00100B79">
        <w:rPr>
          <w:rFonts w:ascii="Times New Roman" w:hAnsi="Times New Roman" w:cs="Times New Roman"/>
          <w:lang w:val="bg-BG"/>
        </w:rPr>
        <w:t xml:space="preserve"> </w:t>
      </w:r>
      <w:r w:rsidRPr="002B1E55">
        <w:rPr>
          <w:rFonts w:ascii="Times New Roman" w:hAnsi="Times New Roman" w:cs="Times New Roman"/>
          <w:lang w:val="bg-BG"/>
        </w:rPr>
        <w:t>Вторият казус представлява средно голямо животновъдно стопанство с икономически размер между 25 000 и 50 000 EUR в Северен централен район (NUTS-2, BG32). Експериментите включват торене при царевица за зърно и силаж, сорго, както и приложение на покривни култури с азотфиксиращ ефект.</w:t>
      </w:r>
      <w:r w:rsidR="00100B79">
        <w:rPr>
          <w:rFonts w:ascii="Times New Roman" w:hAnsi="Times New Roman" w:cs="Times New Roman"/>
          <w:lang w:val="bg-BG"/>
        </w:rPr>
        <w:t xml:space="preserve"> </w:t>
      </w:r>
      <w:r w:rsidRPr="002B1E55">
        <w:rPr>
          <w:rFonts w:ascii="Times New Roman" w:hAnsi="Times New Roman" w:cs="Times New Roman"/>
          <w:lang w:val="bg-BG"/>
        </w:rPr>
        <w:t>Третият казус е голямо земеделско стопанство с икономически размер между 50 000 и 100 000 EUR, специализирано в трайни насаждения и локализирано в Югоизточен район (NUTS-2, BG34). Приложени са практики за затревяване на междуредията, капково напояване и интегрирано управление на вредителите.</w:t>
      </w:r>
    </w:p>
    <w:p w14:paraId="748B6D1B" w14:textId="77777777" w:rsidR="002B4D66" w:rsidRDefault="002B1E55" w:rsidP="002B4D66">
      <w:pPr>
        <w:spacing w:line="360" w:lineRule="auto"/>
        <w:ind w:firstLine="720"/>
        <w:jc w:val="both"/>
        <w:rPr>
          <w:rFonts w:ascii="Times New Roman" w:hAnsi="Times New Roman"/>
          <w:lang w:val="bg-BG"/>
        </w:rPr>
      </w:pPr>
      <w:r w:rsidRPr="002B1E55">
        <w:rPr>
          <w:rFonts w:ascii="Times New Roman" w:hAnsi="Times New Roman" w:cs="Times New Roman"/>
          <w:lang w:val="bg-BG"/>
        </w:rPr>
        <w:t>На следващия етап се прилага ОСО, чрез която се извеждат коефициенти за икономическа и екологична ефективност</w:t>
      </w:r>
      <w:r w:rsidR="002B4D66">
        <w:rPr>
          <w:rFonts w:ascii="Times New Roman" w:hAnsi="Times New Roman" w:cs="Times New Roman"/>
        </w:rPr>
        <w:t xml:space="preserve"> </w:t>
      </w:r>
      <w:r w:rsidR="002B4D66">
        <w:rPr>
          <w:rFonts w:ascii="Times New Roman" w:hAnsi="Times New Roman" w:cs="Times New Roman"/>
          <w:lang w:val="bg-BG"/>
        </w:rPr>
        <w:t>на ниво основни фактори на производство и цпациализация на земеделско стопанство</w:t>
      </w:r>
      <w:r w:rsidRPr="002B1E55">
        <w:rPr>
          <w:rFonts w:ascii="Times New Roman" w:hAnsi="Times New Roman" w:cs="Times New Roman"/>
          <w:lang w:val="bg-BG"/>
        </w:rPr>
        <w:t xml:space="preserve">. </w:t>
      </w:r>
      <w:r w:rsidR="002B4D66" w:rsidRPr="00D34E58">
        <w:rPr>
          <w:rFonts w:ascii="Times New Roman" w:hAnsi="Times New Roman"/>
          <w:lang w:val="bg-BG"/>
        </w:rPr>
        <w:t>Изходният резултативен показател в модела е Обща продукция (SE131 Total Output, €/farm)</w:t>
      </w:r>
      <w:r w:rsidR="002B4D66">
        <w:rPr>
          <w:rFonts w:ascii="Times New Roman" w:hAnsi="Times New Roman"/>
          <w:lang w:val="bg-BG"/>
        </w:rPr>
        <w:t xml:space="preserve">, </w:t>
      </w:r>
      <w:r w:rsidR="002B4D66" w:rsidRPr="00D34E58">
        <w:rPr>
          <w:rFonts w:ascii="Times New Roman" w:hAnsi="Times New Roman"/>
          <w:lang w:val="bg-BG"/>
        </w:rPr>
        <w:t>която се използва като основа за формиране на интензивен показател за продукция на единица площ. За тази цел общата продукция се съотнася към използваната земеделска площ</w:t>
      </w:r>
      <w:r w:rsidR="002B4D66">
        <w:rPr>
          <w:rFonts w:ascii="Times New Roman" w:hAnsi="Times New Roman"/>
          <w:lang w:val="bg-BG"/>
        </w:rPr>
        <w:t xml:space="preserve"> (</w:t>
      </w:r>
      <w:r w:rsidR="002B4D66" w:rsidRPr="00D34E58">
        <w:rPr>
          <w:rFonts w:ascii="Times New Roman" w:hAnsi="Times New Roman"/>
          <w:lang w:val="bg-BG"/>
        </w:rPr>
        <w:t>SE</w:t>
      </w:r>
      <w:r w:rsidR="002B4D66">
        <w:rPr>
          <w:rFonts w:ascii="Times New Roman" w:hAnsi="Times New Roman"/>
          <w:lang w:val="bg-BG"/>
        </w:rPr>
        <w:t xml:space="preserve">025), </w:t>
      </w:r>
      <w:r w:rsidR="002B4D66" w:rsidRPr="00D34E58">
        <w:rPr>
          <w:rFonts w:ascii="Times New Roman" w:hAnsi="Times New Roman"/>
          <w:lang w:val="bg-BG"/>
        </w:rPr>
        <w:t>която изпълнява ролята на обща нормализираща база. Така за всяка година се изчисляват:</w:t>
      </w:r>
    </w:p>
    <w:p w14:paraId="23E5A8C2" w14:textId="77777777" w:rsidR="002B4D66" w:rsidRDefault="00000000" w:rsidP="002B4D66">
      <w:pPr>
        <w:spacing w:line="360" w:lineRule="auto"/>
        <w:ind w:firstLine="720"/>
        <w:jc w:val="both"/>
        <w:rPr>
          <w:rFonts w:ascii="Times New Roman" w:eastAsiaTheme="minorEastAsia" w:hAnsi="Times New Roman"/>
          <w:lang w:val="bg-BG"/>
        </w:rPr>
      </w:pPr>
      <m:oMath>
        <m:sSub>
          <m:sSubPr>
            <m:ctrlPr>
              <w:rPr>
                <w:rFonts w:ascii="Cambria Math" w:hAnsi="Cambria Math"/>
                <w:i/>
                <w:lang w:val="bg-BG"/>
              </w:rPr>
            </m:ctrlPr>
          </m:sSubPr>
          <m:e>
            <m:r>
              <w:rPr>
                <w:rFonts w:ascii="Cambria Math" w:hAnsi="Cambria Math"/>
                <w:lang w:val="bg-BG"/>
              </w:rPr>
              <m:t>O</m:t>
            </m:r>
            <m:r>
              <w:rPr>
                <w:rFonts w:ascii="Cambria Math" w:hAnsi="Cambria Math"/>
              </w:rPr>
              <m:t>P</m:t>
            </m:r>
          </m:e>
          <m:sub>
            <m:r>
              <w:rPr>
                <w:rFonts w:ascii="Cambria Math" w:hAnsi="Cambria Math"/>
                <w:lang w:val="bg-BG"/>
              </w:rPr>
              <m:t>B</m:t>
            </m:r>
            <m:r>
              <w:rPr>
                <w:rFonts w:ascii="Cambria Math" w:hAnsi="Cambria Math"/>
              </w:rPr>
              <m:t>G,t</m:t>
            </m:r>
          </m:sub>
        </m:sSub>
        <m:r>
          <w:rPr>
            <w:rFonts w:ascii="Cambria Math" w:hAnsi="Cambria Math"/>
            <w:lang w:val="bg-BG"/>
          </w:rPr>
          <m:t>=</m:t>
        </m:r>
        <m:f>
          <m:fPr>
            <m:ctrlPr>
              <w:rPr>
                <w:rFonts w:ascii="Cambria Math" w:hAnsi="Cambria Math"/>
                <w:i/>
              </w:rPr>
            </m:ctrlPr>
          </m:fPr>
          <m:num>
            <m:sSub>
              <m:sSubPr>
                <m:ctrlPr>
                  <w:rPr>
                    <w:rFonts w:ascii="Cambria Math" w:hAnsi="Cambria Math"/>
                    <w:i/>
                  </w:rPr>
                </m:ctrlPr>
              </m:sSubPr>
              <m:e>
                <m:r>
                  <w:rPr>
                    <w:rFonts w:ascii="Cambria Math" w:hAnsi="Cambria Math"/>
                  </w:rPr>
                  <m:t>SE131</m:t>
                </m:r>
              </m:e>
              <m:sub>
                <m:r>
                  <w:rPr>
                    <w:rFonts w:ascii="Cambria Math" w:hAnsi="Cambria Math"/>
                  </w:rPr>
                  <m:t>BG,t</m:t>
                </m:r>
              </m:sub>
            </m:sSub>
          </m:num>
          <m:den>
            <m:sSub>
              <m:sSubPr>
                <m:ctrlPr>
                  <w:rPr>
                    <w:rFonts w:ascii="Cambria Math" w:hAnsi="Cambria Math"/>
                    <w:i/>
                  </w:rPr>
                </m:ctrlPr>
              </m:sSubPr>
              <m:e>
                <m:r>
                  <w:rPr>
                    <w:rFonts w:ascii="Cambria Math" w:hAnsi="Cambria Math"/>
                  </w:rPr>
                  <m:t>SE025</m:t>
                </m:r>
              </m:e>
              <m:sub>
                <m:r>
                  <w:rPr>
                    <w:rFonts w:ascii="Cambria Math" w:hAnsi="Cambria Math"/>
                  </w:rPr>
                  <m:t>BG,t</m:t>
                </m:r>
              </m:sub>
            </m:sSub>
          </m:den>
        </m:f>
        <m:r>
          <w:rPr>
            <w:rFonts w:ascii="Cambria Math" w:hAnsi="Cambria Math"/>
          </w:rPr>
          <m:t>,</m:t>
        </m:r>
      </m:oMath>
      <w:r w:rsidR="002B4D66">
        <w:rPr>
          <w:rFonts w:ascii="Times New Roman" w:eastAsiaTheme="minorEastAsia" w:hAnsi="Times New Roman"/>
          <w:i/>
        </w:rPr>
        <w:t xml:space="preserve">  </w:t>
      </w:r>
      <m:oMath>
        <m:sSub>
          <m:sSubPr>
            <m:ctrlPr>
              <w:rPr>
                <w:rFonts w:ascii="Cambria Math" w:hAnsi="Cambria Math"/>
                <w:i/>
                <w:lang w:val="bg-BG"/>
              </w:rPr>
            </m:ctrlPr>
          </m:sSubPr>
          <m:e>
            <m:r>
              <w:rPr>
                <w:rFonts w:ascii="Cambria Math" w:hAnsi="Cambria Math"/>
                <w:lang w:val="bg-BG"/>
              </w:rPr>
              <m:t>O</m:t>
            </m:r>
            <m:r>
              <w:rPr>
                <w:rFonts w:ascii="Cambria Math" w:hAnsi="Cambria Math"/>
              </w:rPr>
              <m:t>P</m:t>
            </m:r>
          </m:e>
          <m:sub>
            <m:r>
              <w:rPr>
                <w:rFonts w:ascii="Cambria Math" w:hAnsi="Cambria Math"/>
                <w:lang w:val="bg-BG"/>
              </w:rPr>
              <m:t>E</m:t>
            </m:r>
            <m:r>
              <w:rPr>
                <w:rFonts w:ascii="Cambria Math" w:hAnsi="Cambria Math"/>
              </w:rPr>
              <m:t>U,t</m:t>
            </m:r>
          </m:sub>
        </m:sSub>
        <m:r>
          <w:rPr>
            <w:rFonts w:ascii="Cambria Math" w:hAnsi="Cambria Math"/>
            <w:lang w:val="bg-BG"/>
          </w:rPr>
          <m:t>=</m:t>
        </m:r>
        <m:f>
          <m:fPr>
            <m:ctrlPr>
              <w:rPr>
                <w:rFonts w:ascii="Cambria Math" w:hAnsi="Cambria Math"/>
                <w:i/>
              </w:rPr>
            </m:ctrlPr>
          </m:fPr>
          <m:num>
            <m:sSub>
              <m:sSubPr>
                <m:ctrlPr>
                  <w:rPr>
                    <w:rFonts w:ascii="Cambria Math" w:hAnsi="Cambria Math"/>
                    <w:i/>
                  </w:rPr>
                </m:ctrlPr>
              </m:sSubPr>
              <m:e>
                <m:r>
                  <w:rPr>
                    <w:rFonts w:ascii="Cambria Math" w:hAnsi="Cambria Math"/>
                  </w:rPr>
                  <m:t>SE131</m:t>
                </m:r>
              </m:e>
              <m:sub>
                <m:r>
                  <w:rPr>
                    <w:rFonts w:ascii="Cambria Math" w:hAnsi="Cambria Math"/>
                  </w:rPr>
                  <m:t>EU,t</m:t>
                </m:r>
              </m:sub>
            </m:sSub>
          </m:num>
          <m:den>
            <m:sSub>
              <m:sSubPr>
                <m:ctrlPr>
                  <w:rPr>
                    <w:rFonts w:ascii="Cambria Math" w:hAnsi="Cambria Math"/>
                    <w:i/>
                  </w:rPr>
                </m:ctrlPr>
              </m:sSubPr>
              <m:e>
                <m:r>
                  <w:rPr>
                    <w:rFonts w:ascii="Cambria Math" w:hAnsi="Cambria Math"/>
                  </w:rPr>
                  <m:t>SE025</m:t>
                </m:r>
              </m:e>
              <m:sub>
                <m:r>
                  <w:rPr>
                    <w:rFonts w:ascii="Cambria Math" w:hAnsi="Cambria Math"/>
                  </w:rPr>
                  <m:t>EU,t</m:t>
                </m:r>
              </m:sub>
            </m:sSub>
          </m:den>
        </m:f>
      </m:oMath>
      <w:r w:rsidR="002B4D66">
        <w:rPr>
          <w:rFonts w:ascii="Times New Roman" w:eastAsiaTheme="minorEastAsia" w:hAnsi="Times New Roman"/>
          <w:i/>
        </w:rPr>
        <w:t xml:space="preserve">, </w:t>
      </w:r>
      <w:r w:rsidR="002B4D66">
        <w:rPr>
          <w:rFonts w:ascii="Times New Roman" w:eastAsiaTheme="minorEastAsia" w:hAnsi="Times New Roman"/>
          <w:iCs/>
          <w:lang w:val="bg-BG"/>
        </w:rPr>
        <w:t xml:space="preserve">където </w:t>
      </w:r>
      <m:oMath>
        <m:r>
          <w:rPr>
            <w:rFonts w:ascii="Cambria Math" w:hAnsi="Cambria Math"/>
            <w:lang w:val="bg-BG"/>
          </w:rPr>
          <m:t>O</m:t>
        </m:r>
        <m:r>
          <w:rPr>
            <w:rFonts w:ascii="Cambria Math" w:hAnsi="Cambria Math"/>
          </w:rPr>
          <m:t>P</m:t>
        </m:r>
      </m:oMath>
      <w:r w:rsidR="002B4D66">
        <w:rPr>
          <w:rFonts w:ascii="Times New Roman" w:eastAsiaTheme="minorEastAsia" w:hAnsi="Times New Roman"/>
          <w:lang w:val="bg-BG"/>
        </w:rPr>
        <w:t xml:space="preserve"> е </w:t>
      </w:r>
      <w:r w:rsidR="002B4D66" w:rsidRPr="00D34E58">
        <w:rPr>
          <w:rFonts w:ascii="Times New Roman" w:eastAsiaTheme="minorEastAsia" w:hAnsi="Times New Roman"/>
          <w:lang w:val="bg-BG"/>
        </w:rPr>
        <w:t>продукция на хектар</w:t>
      </w:r>
      <w:r w:rsidR="002B4D66">
        <w:rPr>
          <w:rFonts w:ascii="Times New Roman" w:eastAsiaTheme="minorEastAsia" w:hAnsi="Times New Roman"/>
          <w:lang w:val="bg-BG"/>
        </w:rPr>
        <w:t xml:space="preserve">, а </w:t>
      </w:r>
      <w:r w:rsidR="002B4D66">
        <w:rPr>
          <w:rFonts w:ascii="Times New Roman" w:eastAsiaTheme="minorEastAsia" w:hAnsi="Times New Roman"/>
          <w:i/>
          <w:iCs/>
        </w:rPr>
        <w:t>t</w:t>
      </w:r>
      <w:r w:rsidR="002B4D66">
        <w:rPr>
          <w:rFonts w:ascii="Times New Roman" w:eastAsiaTheme="minorEastAsia" w:hAnsi="Times New Roman"/>
        </w:rPr>
        <w:t xml:space="preserve"> – </w:t>
      </w:r>
      <w:r w:rsidR="002B4D66">
        <w:rPr>
          <w:rFonts w:ascii="Times New Roman" w:eastAsiaTheme="minorEastAsia" w:hAnsi="Times New Roman"/>
          <w:lang w:val="bg-BG"/>
        </w:rPr>
        <w:t>съответната година.</w:t>
      </w:r>
    </w:p>
    <w:p w14:paraId="3C87EF5F" w14:textId="77777777" w:rsidR="002B4D66" w:rsidRDefault="002B4D66" w:rsidP="002B4D66">
      <w:pPr>
        <w:spacing w:line="360" w:lineRule="auto"/>
        <w:ind w:firstLine="720"/>
        <w:jc w:val="both"/>
        <w:rPr>
          <w:rFonts w:ascii="Times New Roman" w:hAnsi="Times New Roman"/>
          <w:lang w:val="bg-BG"/>
        </w:rPr>
      </w:pPr>
      <w:r w:rsidRPr="00D34E58">
        <w:rPr>
          <w:rFonts w:ascii="Times New Roman" w:hAnsi="Times New Roman"/>
          <w:lang w:val="bg-BG"/>
        </w:rPr>
        <w:t>На същия принцип се формират и останалите ресурсни показатели, чрез които се оценяват отделните измерения на икономическата ефективност. За производствените разходи се използва показателят SE270 Total Inputs, приведен на хектар:</w:t>
      </w:r>
    </w:p>
    <w:p w14:paraId="45F6E1A2" w14:textId="77777777" w:rsidR="002B4D66" w:rsidRDefault="00000000" w:rsidP="002B4D66">
      <w:pPr>
        <w:spacing w:line="360" w:lineRule="auto"/>
        <w:ind w:firstLine="720"/>
        <w:jc w:val="both"/>
        <w:rPr>
          <w:rFonts w:ascii="Times New Roman" w:eastAsiaTheme="minorEastAsia" w:hAnsi="Times New Roman"/>
          <w:i/>
        </w:rPr>
      </w:pPr>
      <m:oMath>
        <m:sSub>
          <m:sSubPr>
            <m:ctrlPr>
              <w:rPr>
                <w:rFonts w:ascii="Cambria Math" w:hAnsi="Cambria Math"/>
                <w:i/>
                <w:lang w:val="bg-BG"/>
              </w:rPr>
            </m:ctrlPr>
          </m:sSubPr>
          <m:e>
            <m:r>
              <w:rPr>
                <w:rFonts w:ascii="Cambria Math" w:hAnsi="Cambria Math"/>
              </w:rPr>
              <m:t>IN</m:t>
            </m:r>
          </m:e>
          <m:sub>
            <m:r>
              <w:rPr>
                <w:rFonts w:ascii="Cambria Math" w:hAnsi="Cambria Math"/>
                <w:lang w:val="bg-BG"/>
              </w:rPr>
              <m:t>B</m:t>
            </m:r>
            <m:r>
              <w:rPr>
                <w:rFonts w:ascii="Cambria Math" w:hAnsi="Cambria Math"/>
              </w:rPr>
              <m:t>G,t</m:t>
            </m:r>
          </m:sub>
        </m:sSub>
        <m:r>
          <w:rPr>
            <w:rFonts w:ascii="Cambria Math" w:hAnsi="Cambria Math"/>
            <w:lang w:val="bg-BG"/>
          </w:rPr>
          <m:t>=</m:t>
        </m:r>
        <m:f>
          <m:fPr>
            <m:ctrlPr>
              <w:rPr>
                <w:rFonts w:ascii="Cambria Math" w:hAnsi="Cambria Math"/>
                <w:i/>
              </w:rPr>
            </m:ctrlPr>
          </m:fPr>
          <m:num>
            <m:sSub>
              <m:sSubPr>
                <m:ctrlPr>
                  <w:rPr>
                    <w:rFonts w:ascii="Cambria Math" w:hAnsi="Cambria Math"/>
                    <w:i/>
                  </w:rPr>
                </m:ctrlPr>
              </m:sSubPr>
              <m:e>
                <m:r>
                  <w:rPr>
                    <w:rFonts w:ascii="Cambria Math" w:hAnsi="Cambria Math"/>
                  </w:rPr>
                  <m:t>SE270</m:t>
                </m:r>
              </m:e>
              <m:sub>
                <m:r>
                  <w:rPr>
                    <w:rFonts w:ascii="Cambria Math" w:hAnsi="Cambria Math"/>
                  </w:rPr>
                  <m:t>BG,t</m:t>
                </m:r>
              </m:sub>
            </m:sSub>
          </m:num>
          <m:den>
            <m:sSub>
              <m:sSubPr>
                <m:ctrlPr>
                  <w:rPr>
                    <w:rFonts w:ascii="Cambria Math" w:hAnsi="Cambria Math"/>
                    <w:i/>
                  </w:rPr>
                </m:ctrlPr>
              </m:sSubPr>
              <m:e>
                <m:r>
                  <w:rPr>
                    <w:rFonts w:ascii="Cambria Math" w:hAnsi="Cambria Math"/>
                  </w:rPr>
                  <m:t>SE025</m:t>
                </m:r>
              </m:e>
              <m:sub>
                <m:r>
                  <w:rPr>
                    <w:rFonts w:ascii="Cambria Math" w:hAnsi="Cambria Math"/>
                  </w:rPr>
                  <m:t>BG,t</m:t>
                </m:r>
              </m:sub>
            </m:sSub>
          </m:den>
        </m:f>
        <m:r>
          <w:rPr>
            <w:rFonts w:ascii="Cambria Math" w:hAnsi="Cambria Math"/>
          </w:rPr>
          <m:t>,</m:t>
        </m:r>
      </m:oMath>
      <w:r w:rsidR="002B4D66">
        <w:rPr>
          <w:rFonts w:ascii="Times New Roman" w:eastAsiaTheme="minorEastAsia" w:hAnsi="Times New Roman"/>
          <w:i/>
        </w:rPr>
        <w:t xml:space="preserve">  </w:t>
      </w:r>
      <m:oMath>
        <m:sSub>
          <m:sSubPr>
            <m:ctrlPr>
              <w:rPr>
                <w:rFonts w:ascii="Cambria Math" w:hAnsi="Cambria Math"/>
                <w:i/>
                <w:lang w:val="bg-BG"/>
              </w:rPr>
            </m:ctrlPr>
          </m:sSubPr>
          <m:e>
            <m:r>
              <w:rPr>
                <w:rFonts w:ascii="Cambria Math" w:hAnsi="Cambria Math"/>
                <w:lang w:val="bg-BG"/>
              </w:rPr>
              <m:t>I</m:t>
            </m:r>
            <m:r>
              <w:rPr>
                <w:rFonts w:ascii="Cambria Math" w:hAnsi="Cambria Math"/>
              </w:rPr>
              <m:t>N</m:t>
            </m:r>
          </m:e>
          <m:sub>
            <m:r>
              <w:rPr>
                <w:rFonts w:ascii="Cambria Math" w:hAnsi="Cambria Math"/>
                <w:lang w:val="bg-BG"/>
              </w:rPr>
              <m:t>E</m:t>
            </m:r>
            <m:r>
              <w:rPr>
                <w:rFonts w:ascii="Cambria Math" w:hAnsi="Cambria Math"/>
              </w:rPr>
              <m:t>U,t</m:t>
            </m:r>
          </m:sub>
        </m:sSub>
        <m:r>
          <w:rPr>
            <w:rFonts w:ascii="Cambria Math" w:hAnsi="Cambria Math"/>
            <w:lang w:val="bg-BG"/>
          </w:rPr>
          <m:t>=</m:t>
        </m:r>
        <m:f>
          <m:fPr>
            <m:ctrlPr>
              <w:rPr>
                <w:rFonts w:ascii="Cambria Math" w:hAnsi="Cambria Math"/>
                <w:i/>
              </w:rPr>
            </m:ctrlPr>
          </m:fPr>
          <m:num>
            <m:sSub>
              <m:sSubPr>
                <m:ctrlPr>
                  <w:rPr>
                    <w:rFonts w:ascii="Cambria Math" w:hAnsi="Cambria Math"/>
                    <w:i/>
                  </w:rPr>
                </m:ctrlPr>
              </m:sSubPr>
              <m:e>
                <m:r>
                  <w:rPr>
                    <w:rFonts w:ascii="Cambria Math" w:hAnsi="Cambria Math"/>
                  </w:rPr>
                  <m:t>SE270</m:t>
                </m:r>
              </m:e>
              <m:sub>
                <m:r>
                  <w:rPr>
                    <w:rFonts w:ascii="Cambria Math" w:hAnsi="Cambria Math"/>
                  </w:rPr>
                  <m:t>EU,t</m:t>
                </m:r>
              </m:sub>
            </m:sSub>
          </m:num>
          <m:den>
            <m:sSub>
              <m:sSubPr>
                <m:ctrlPr>
                  <w:rPr>
                    <w:rFonts w:ascii="Cambria Math" w:hAnsi="Cambria Math"/>
                    <w:i/>
                  </w:rPr>
                </m:ctrlPr>
              </m:sSubPr>
              <m:e>
                <m:r>
                  <w:rPr>
                    <w:rFonts w:ascii="Cambria Math" w:hAnsi="Cambria Math"/>
                  </w:rPr>
                  <m:t>SE025</m:t>
                </m:r>
              </m:e>
              <m:sub>
                <m:r>
                  <w:rPr>
                    <w:rFonts w:ascii="Cambria Math" w:hAnsi="Cambria Math"/>
                  </w:rPr>
                  <m:t>EU,t</m:t>
                </m:r>
              </m:sub>
            </m:sSub>
          </m:den>
        </m:f>
      </m:oMath>
      <w:r w:rsidR="002B4D66">
        <w:rPr>
          <w:rFonts w:ascii="Times New Roman" w:eastAsiaTheme="minorEastAsia" w:hAnsi="Times New Roman"/>
          <w:i/>
        </w:rPr>
        <w:t xml:space="preserve">; </w:t>
      </w:r>
    </w:p>
    <w:p w14:paraId="2B3AE0B0" w14:textId="77777777" w:rsidR="002B4D66" w:rsidRDefault="002B4D66" w:rsidP="002B4D66">
      <w:pPr>
        <w:spacing w:line="360" w:lineRule="auto"/>
        <w:ind w:firstLine="720"/>
        <w:jc w:val="both"/>
        <w:rPr>
          <w:rFonts w:ascii="Times New Roman" w:hAnsi="Times New Roman"/>
          <w:iCs/>
        </w:rPr>
      </w:pPr>
      <w:r w:rsidRPr="00D34E58">
        <w:rPr>
          <w:rFonts w:ascii="Times New Roman" w:hAnsi="Times New Roman"/>
          <w:iCs/>
          <w:lang w:val="bg-BG"/>
        </w:rPr>
        <w:t>За капитала се използва SE436 Total Assets, отново приведен към използваната земеделска площ:</w:t>
      </w:r>
      <w:r>
        <w:rPr>
          <w:rFonts w:ascii="Times New Roman" w:hAnsi="Times New Roman"/>
          <w:iCs/>
        </w:rPr>
        <w:t xml:space="preserve"> </w:t>
      </w:r>
    </w:p>
    <w:p w14:paraId="0CCA9BCE" w14:textId="77777777" w:rsidR="002B4D66" w:rsidRDefault="00000000" w:rsidP="002B4D66">
      <w:pPr>
        <w:spacing w:line="360" w:lineRule="auto"/>
        <w:ind w:firstLine="720"/>
        <w:jc w:val="both"/>
        <w:rPr>
          <w:rFonts w:ascii="Times New Roman" w:eastAsiaTheme="minorEastAsia" w:hAnsi="Times New Roman"/>
          <w:i/>
        </w:rPr>
      </w:pPr>
      <m:oMath>
        <m:sSub>
          <m:sSubPr>
            <m:ctrlPr>
              <w:rPr>
                <w:rFonts w:ascii="Cambria Math" w:hAnsi="Cambria Math"/>
                <w:i/>
                <w:lang w:val="bg-BG"/>
              </w:rPr>
            </m:ctrlPr>
          </m:sSubPr>
          <m:e>
            <m:r>
              <w:rPr>
                <w:rFonts w:ascii="Cambria Math" w:hAnsi="Cambria Math"/>
              </w:rPr>
              <m:t>CA</m:t>
            </m:r>
          </m:e>
          <m:sub>
            <m:r>
              <w:rPr>
                <w:rFonts w:ascii="Cambria Math" w:hAnsi="Cambria Math"/>
                <w:lang w:val="bg-BG"/>
              </w:rPr>
              <m:t>B</m:t>
            </m:r>
            <m:r>
              <w:rPr>
                <w:rFonts w:ascii="Cambria Math" w:hAnsi="Cambria Math"/>
              </w:rPr>
              <m:t>G,t</m:t>
            </m:r>
          </m:sub>
        </m:sSub>
        <m:r>
          <w:rPr>
            <w:rFonts w:ascii="Cambria Math" w:hAnsi="Cambria Math"/>
            <w:lang w:val="bg-BG"/>
          </w:rPr>
          <m:t>=</m:t>
        </m:r>
        <m:f>
          <m:fPr>
            <m:ctrlPr>
              <w:rPr>
                <w:rFonts w:ascii="Cambria Math" w:hAnsi="Cambria Math"/>
                <w:i/>
              </w:rPr>
            </m:ctrlPr>
          </m:fPr>
          <m:num>
            <m:sSub>
              <m:sSubPr>
                <m:ctrlPr>
                  <w:rPr>
                    <w:rFonts w:ascii="Cambria Math" w:hAnsi="Cambria Math"/>
                    <w:i/>
                  </w:rPr>
                </m:ctrlPr>
              </m:sSubPr>
              <m:e>
                <m:r>
                  <w:rPr>
                    <w:rFonts w:ascii="Cambria Math" w:hAnsi="Cambria Math"/>
                  </w:rPr>
                  <m:t>SE436</m:t>
                </m:r>
              </m:e>
              <m:sub>
                <m:r>
                  <w:rPr>
                    <w:rFonts w:ascii="Cambria Math" w:hAnsi="Cambria Math"/>
                  </w:rPr>
                  <m:t>BG,t</m:t>
                </m:r>
              </m:sub>
            </m:sSub>
          </m:num>
          <m:den>
            <m:sSub>
              <m:sSubPr>
                <m:ctrlPr>
                  <w:rPr>
                    <w:rFonts w:ascii="Cambria Math" w:hAnsi="Cambria Math"/>
                    <w:i/>
                  </w:rPr>
                </m:ctrlPr>
              </m:sSubPr>
              <m:e>
                <m:r>
                  <w:rPr>
                    <w:rFonts w:ascii="Cambria Math" w:hAnsi="Cambria Math"/>
                  </w:rPr>
                  <m:t>SE025</m:t>
                </m:r>
              </m:e>
              <m:sub>
                <m:r>
                  <w:rPr>
                    <w:rFonts w:ascii="Cambria Math" w:hAnsi="Cambria Math"/>
                  </w:rPr>
                  <m:t>BG,t</m:t>
                </m:r>
              </m:sub>
            </m:sSub>
          </m:den>
        </m:f>
        <m:r>
          <w:rPr>
            <w:rFonts w:ascii="Cambria Math" w:hAnsi="Cambria Math"/>
          </w:rPr>
          <m:t>,</m:t>
        </m:r>
      </m:oMath>
      <w:r w:rsidR="002B4D66">
        <w:rPr>
          <w:rFonts w:ascii="Times New Roman" w:eastAsiaTheme="minorEastAsia" w:hAnsi="Times New Roman"/>
          <w:i/>
        </w:rPr>
        <w:t xml:space="preserve">  </w:t>
      </w:r>
      <m:oMath>
        <m:sSub>
          <m:sSubPr>
            <m:ctrlPr>
              <w:rPr>
                <w:rFonts w:ascii="Cambria Math" w:hAnsi="Cambria Math"/>
                <w:i/>
                <w:lang w:val="bg-BG"/>
              </w:rPr>
            </m:ctrlPr>
          </m:sSubPr>
          <m:e>
            <m:r>
              <w:rPr>
                <w:rFonts w:ascii="Cambria Math" w:hAnsi="Cambria Math"/>
                <w:lang w:val="bg-BG"/>
              </w:rPr>
              <m:t>C</m:t>
            </m:r>
            <m:r>
              <w:rPr>
                <w:rFonts w:ascii="Cambria Math" w:hAnsi="Cambria Math"/>
              </w:rPr>
              <m:t>A</m:t>
            </m:r>
          </m:e>
          <m:sub>
            <m:r>
              <w:rPr>
                <w:rFonts w:ascii="Cambria Math" w:hAnsi="Cambria Math"/>
                <w:lang w:val="bg-BG"/>
              </w:rPr>
              <m:t>E</m:t>
            </m:r>
            <m:r>
              <w:rPr>
                <w:rFonts w:ascii="Cambria Math" w:hAnsi="Cambria Math"/>
              </w:rPr>
              <m:t>U,t</m:t>
            </m:r>
          </m:sub>
        </m:sSub>
        <m:r>
          <w:rPr>
            <w:rFonts w:ascii="Cambria Math" w:hAnsi="Cambria Math"/>
            <w:lang w:val="bg-BG"/>
          </w:rPr>
          <m:t>=</m:t>
        </m:r>
        <m:f>
          <m:fPr>
            <m:ctrlPr>
              <w:rPr>
                <w:rFonts w:ascii="Cambria Math" w:hAnsi="Cambria Math"/>
                <w:i/>
              </w:rPr>
            </m:ctrlPr>
          </m:fPr>
          <m:num>
            <m:sSub>
              <m:sSubPr>
                <m:ctrlPr>
                  <w:rPr>
                    <w:rFonts w:ascii="Cambria Math" w:hAnsi="Cambria Math"/>
                    <w:i/>
                  </w:rPr>
                </m:ctrlPr>
              </m:sSubPr>
              <m:e>
                <m:r>
                  <w:rPr>
                    <w:rFonts w:ascii="Cambria Math" w:hAnsi="Cambria Math"/>
                  </w:rPr>
                  <m:t>SE436</m:t>
                </m:r>
              </m:e>
              <m:sub>
                <m:r>
                  <w:rPr>
                    <w:rFonts w:ascii="Cambria Math" w:hAnsi="Cambria Math"/>
                  </w:rPr>
                  <m:t>EU,t</m:t>
                </m:r>
              </m:sub>
            </m:sSub>
          </m:num>
          <m:den>
            <m:sSub>
              <m:sSubPr>
                <m:ctrlPr>
                  <w:rPr>
                    <w:rFonts w:ascii="Cambria Math" w:hAnsi="Cambria Math"/>
                    <w:i/>
                  </w:rPr>
                </m:ctrlPr>
              </m:sSubPr>
              <m:e>
                <m:r>
                  <w:rPr>
                    <w:rFonts w:ascii="Cambria Math" w:hAnsi="Cambria Math"/>
                  </w:rPr>
                  <m:t>SE025</m:t>
                </m:r>
              </m:e>
              <m:sub>
                <m:r>
                  <w:rPr>
                    <w:rFonts w:ascii="Cambria Math" w:hAnsi="Cambria Math"/>
                  </w:rPr>
                  <m:t>EU,t</m:t>
                </m:r>
              </m:sub>
            </m:sSub>
          </m:den>
        </m:f>
      </m:oMath>
      <w:r w:rsidR="002B4D66">
        <w:rPr>
          <w:rFonts w:ascii="Times New Roman" w:eastAsiaTheme="minorEastAsia" w:hAnsi="Times New Roman"/>
          <w:i/>
        </w:rPr>
        <w:t xml:space="preserve">; </w:t>
      </w:r>
    </w:p>
    <w:p w14:paraId="53C7D579" w14:textId="77777777" w:rsidR="002B4D66" w:rsidRDefault="002B4D66" w:rsidP="002B4D66">
      <w:pPr>
        <w:spacing w:line="360" w:lineRule="auto"/>
        <w:ind w:firstLine="720"/>
        <w:jc w:val="both"/>
        <w:rPr>
          <w:rFonts w:ascii="Times New Roman" w:eastAsiaTheme="minorEastAsia" w:hAnsi="Times New Roman"/>
          <w:iCs/>
          <w:lang w:val="bg-BG"/>
        </w:rPr>
      </w:pPr>
      <w:r w:rsidRPr="00D34E58">
        <w:rPr>
          <w:rFonts w:ascii="Times New Roman" w:eastAsiaTheme="minorEastAsia" w:hAnsi="Times New Roman"/>
          <w:iCs/>
          <w:lang w:val="bg-BG"/>
        </w:rPr>
        <w:t>За труда се използва SE010 Total Labour Input, измерен в AWU на стопанство и нормализиран на хектар:</w:t>
      </w:r>
    </w:p>
    <w:p w14:paraId="3455602B" w14:textId="77777777" w:rsidR="002B4D66" w:rsidRDefault="00000000" w:rsidP="002B4D66">
      <w:pPr>
        <w:spacing w:line="360" w:lineRule="auto"/>
        <w:ind w:firstLine="720"/>
        <w:jc w:val="both"/>
        <w:rPr>
          <w:rFonts w:ascii="Times New Roman" w:eastAsiaTheme="minorEastAsia" w:hAnsi="Times New Roman"/>
          <w:iCs/>
        </w:rPr>
      </w:pPr>
      <m:oMath>
        <m:sSub>
          <m:sSubPr>
            <m:ctrlPr>
              <w:rPr>
                <w:rFonts w:ascii="Cambria Math" w:hAnsi="Cambria Math"/>
                <w:i/>
                <w:lang w:val="bg-BG"/>
              </w:rPr>
            </m:ctrlPr>
          </m:sSubPr>
          <m:e>
            <m:r>
              <w:rPr>
                <w:rFonts w:ascii="Cambria Math" w:hAnsi="Cambria Math"/>
              </w:rPr>
              <m:t>LA</m:t>
            </m:r>
          </m:e>
          <m:sub>
            <m:r>
              <w:rPr>
                <w:rFonts w:ascii="Cambria Math" w:hAnsi="Cambria Math"/>
                <w:lang w:val="bg-BG"/>
              </w:rPr>
              <m:t>B</m:t>
            </m:r>
            <m:r>
              <w:rPr>
                <w:rFonts w:ascii="Cambria Math" w:hAnsi="Cambria Math"/>
              </w:rPr>
              <m:t>G,t</m:t>
            </m:r>
          </m:sub>
        </m:sSub>
        <m:r>
          <w:rPr>
            <w:rFonts w:ascii="Cambria Math" w:hAnsi="Cambria Math"/>
            <w:lang w:val="bg-BG"/>
          </w:rPr>
          <m:t>=</m:t>
        </m:r>
        <m:f>
          <m:fPr>
            <m:ctrlPr>
              <w:rPr>
                <w:rFonts w:ascii="Cambria Math" w:hAnsi="Cambria Math"/>
                <w:i/>
              </w:rPr>
            </m:ctrlPr>
          </m:fPr>
          <m:num>
            <m:sSub>
              <m:sSubPr>
                <m:ctrlPr>
                  <w:rPr>
                    <w:rFonts w:ascii="Cambria Math" w:hAnsi="Cambria Math"/>
                    <w:i/>
                  </w:rPr>
                </m:ctrlPr>
              </m:sSubPr>
              <m:e>
                <m:r>
                  <w:rPr>
                    <w:rFonts w:ascii="Cambria Math" w:hAnsi="Cambria Math"/>
                  </w:rPr>
                  <m:t>SE010</m:t>
                </m:r>
              </m:e>
              <m:sub>
                <m:r>
                  <w:rPr>
                    <w:rFonts w:ascii="Cambria Math" w:hAnsi="Cambria Math"/>
                  </w:rPr>
                  <m:t>BG,t</m:t>
                </m:r>
              </m:sub>
            </m:sSub>
          </m:num>
          <m:den>
            <m:sSub>
              <m:sSubPr>
                <m:ctrlPr>
                  <w:rPr>
                    <w:rFonts w:ascii="Cambria Math" w:hAnsi="Cambria Math"/>
                    <w:i/>
                  </w:rPr>
                </m:ctrlPr>
              </m:sSubPr>
              <m:e>
                <m:r>
                  <w:rPr>
                    <w:rFonts w:ascii="Cambria Math" w:hAnsi="Cambria Math"/>
                  </w:rPr>
                  <m:t>SE025</m:t>
                </m:r>
              </m:e>
              <m:sub>
                <m:r>
                  <w:rPr>
                    <w:rFonts w:ascii="Cambria Math" w:hAnsi="Cambria Math"/>
                  </w:rPr>
                  <m:t>BG,t</m:t>
                </m:r>
              </m:sub>
            </m:sSub>
          </m:den>
        </m:f>
        <m:r>
          <w:rPr>
            <w:rFonts w:ascii="Cambria Math" w:hAnsi="Cambria Math"/>
          </w:rPr>
          <m:t>,</m:t>
        </m:r>
      </m:oMath>
      <w:r w:rsidR="002B4D66">
        <w:rPr>
          <w:rFonts w:ascii="Times New Roman" w:eastAsiaTheme="minorEastAsia" w:hAnsi="Times New Roman"/>
          <w:i/>
        </w:rPr>
        <w:t xml:space="preserve">  </w:t>
      </w:r>
      <m:oMath>
        <m:sSub>
          <m:sSubPr>
            <m:ctrlPr>
              <w:rPr>
                <w:rFonts w:ascii="Cambria Math" w:hAnsi="Cambria Math"/>
                <w:i/>
                <w:lang w:val="bg-BG"/>
              </w:rPr>
            </m:ctrlPr>
          </m:sSubPr>
          <m:e>
            <m:r>
              <w:rPr>
                <w:rFonts w:ascii="Cambria Math" w:hAnsi="Cambria Math"/>
                <w:lang w:val="bg-BG"/>
              </w:rPr>
              <m:t>L</m:t>
            </m:r>
            <m:r>
              <w:rPr>
                <w:rFonts w:ascii="Cambria Math" w:hAnsi="Cambria Math"/>
              </w:rPr>
              <m:t>A</m:t>
            </m:r>
          </m:e>
          <m:sub>
            <m:r>
              <w:rPr>
                <w:rFonts w:ascii="Cambria Math" w:hAnsi="Cambria Math"/>
                <w:lang w:val="bg-BG"/>
              </w:rPr>
              <m:t>E</m:t>
            </m:r>
            <m:r>
              <w:rPr>
                <w:rFonts w:ascii="Cambria Math" w:hAnsi="Cambria Math"/>
              </w:rPr>
              <m:t>U,t</m:t>
            </m:r>
          </m:sub>
        </m:sSub>
        <m:r>
          <w:rPr>
            <w:rFonts w:ascii="Cambria Math" w:hAnsi="Cambria Math"/>
            <w:lang w:val="bg-BG"/>
          </w:rPr>
          <m:t>=</m:t>
        </m:r>
        <m:f>
          <m:fPr>
            <m:ctrlPr>
              <w:rPr>
                <w:rFonts w:ascii="Cambria Math" w:hAnsi="Cambria Math"/>
                <w:i/>
              </w:rPr>
            </m:ctrlPr>
          </m:fPr>
          <m:num>
            <m:sSub>
              <m:sSubPr>
                <m:ctrlPr>
                  <w:rPr>
                    <w:rFonts w:ascii="Cambria Math" w:hAnsi="Cambria Math"/>
                    <w:i/>
                  </w:rPr>
                </m:ctrlPr>
              </m:sSubPr>
              <m:e>
                <m:r>
                  <w:rPr>
                    <w:rFonts w:ascii="Cambria Math" w:hAnsi="Cambria Math"/>
                  </w:rPr>
                  <m:t>SE010</m:t>
                </m:r>
              </m:e>
              <m:sub>
                <m:r>
                  <w:rPr>
                    <w:rFonts w:ascii="Cambria Math" w:hAnsi="Cambria Math"/>
                  </w:rPr>
                  <m:t>EU,t</m:t>
                </m:r>
              </m:sub>
            </m:sSub>
          </m:num>
          <m:den>
            <m:sSub>
              <m:sSubPr>
                <m:ctrlPr>
                  <w:rPr>
                    <w:rFonts w:ascii="Cambria Math" w:hAnsi="Cambria Math"/>
                    <w:i/>
                  </w:rPr>
                </m:ctrlPr>
              </m:sSubPr>
              <m:e>
                <m:r>
                  <w:rPr>
                    <w:rFonts w:ascii="Cambria Math" w:hAnsi="Cambria Math"/>
                  </w:rPr>
                  <m:t>SE025</m:t>
                </m:r>
              </m:e>
              <m:sub>
                <m:r>
                  <w:rPr>
                    <w:rFonts w:ascii="Cambria Math" w:hAnsi="Cambria Math"/>
                  </w:rPr>
                  <m:t>EU,t</m:t>
                </m:r>
              </m:sub>
            </m:sSub>
          </m:den>
        </m:f>
      </m:oMath>
      <w:r w:rsidR="002B4D66">
        <w:rPr>
          <w:rFonts w:ascii="Times New Roman" w:eastAsiaTheme="minorEastAsia" w:hAnsi="Times New Roman"/>
          <w:i/>
        </w:rPr>
        <w:t>;</w:t>
      </w:r>
    </w:p>
    <w:p w14:paraId="4A5729F6" w14:textId="77777777" w:rsidR="002B4D66" w:rsidRDefault="002B4D66" w:rsidP="002B4D66">
      <w:pPr>
        <w:spacing w:line="360" w:lineRule="auto"/>
        <w:ind w:firstLine="720"/>
        <w:jc w:val="both"/>
        <w:rPr>
          <w:rFonts w:ascii="Times New Roman" w:eastAsiaTheme="minorEastAsia" w:hAnsi="Times New Roman"/>
          <w:iCs/>
          <w:lang w:val="bg-BG"/>
        </w:rPr>
      </w:pPr>
      <w:r w:rsidRPr="00D34E58">
        <w:rPr>
          <w:rFonts w:ascii="Times New Roman" w:eastAsiaTheme="minorEastAsia" w:hAnsi="Times New Roman"/>
          <w:iCs/>
          <w:lang w:val="bg-BG"/>
        </w:rPr>
        <w:t>При земеползването се използва SE375 Rent paid (€/ha), който по своята същност вече е показател на хектар и не изисква допълнителна нормализация:</w:t>
      </w:r>
    </w:p>
    <w:p w14:paraId="0CF1A221" w14:textId="77777777" w:rsidR="002B4D66" w:rsidRDefault="00000000" w:rsidP="002B4D66">
      <w:pPr>
        <w:spacing w:line="360" w:lineRule="auto"/>
        <w:ind w:firstLine="720"/>
        <w:jc w:val="both"/>
        <w:rPr>
          <w:rFonts w:ascii="Times New Roman" w:eastAsiaTheme="minorEastAsia" w:hAnsi="Times New Roman"/>
          <w:i/>
          <w:iCs/>
        </w:rPr>
      </w:pPr>
      <m:oMath>
        <m:sSub>
          <m:sSubPr>
            <m:ctrlPr>
              <w:rPr>
                <w:rFonts w:ascii="Cambria Math" w:eastAsiaTheme="minorEastAsia" w:hAnsi="Cambria Math"/>
                <w:i/>
                <w:iCs/>
                <w:lang w:val="bg-BG"/>
              </w:rPr>
            </m:ctrlPr>
          </m:sSubPr>
          <m:e>
            <m:r>
              <w:rPr>
                <w:rFonts w:ascii="Cambria Math" w:eastAsiaTheme="minorEastAsia" w:hAnsi="Cambria Math"/>
                <w:lang w:val="bg-BG"/>
              </w:rPr>
              <m:t>R</m:t>
            </m:r>
            <m:r>
              <w:rPr>
                <w:rFonts w:ascii="Cambria Math" w:eastAsiaTheme="minorEastAsia" w:hAnsi="Cambria Math"/>
              </w:rPr>
              <m:t>E</m:t>
            </m:r>
          </m:e>
          <m:sub>
            <m:r>
              <w:rPr>
                <w:rFonts w:ascii="Cambria Math" w:eastAsiaTheme="minorEastAsia" w:hAnsi="Cambria Math"/>
                <w:lang w:val="bg-BG"/>
              </w:rPr>
              <m:t>B</m:t>
            </m:r>
            <m:r>
              <w:rPr>
                <w:rFonts w:ascii="Cambria Math" w:eastAsiaTheme="minorEastAsia" w:hAnsi="Cambria Math"/>
              </w:rPr>
              <m:t>G,t</m:t>
            </m:r>
          </m:sub>
        </m:sSub>
        <m:r>
          <w:rPr>
            <w:rFonts w:ascii="Cambria Math" w:eastAsiaTheme="minorEastAsia" w:hAnsi="Cambria Math"/>
            <w:lang w:val="bg-BG"/>
          </w:rPr>
          <m:t>=</m:t>
        </m:r>
        <m:sSub>
          <m:sSubPr>
            <m:ctrlPr>
              <w:rPr>
                <w:rFonts w:ascii="Cambria Math" w:eastAsiaTheme="minorEastAsia" w:hAnsi="Cambria Math"/>
                <w:i/>
                <w:iCs/>
                <w:lang w:val="bg-BG"/>
              </w:rPr>
            </m:ctrlPr>
          </m:sSubPr>
          <m:e>
            <m:r>
              <w:rPr>
                <w:rFonts w:ascii="Cambria Math" w:eastAsiaTheme="minorEastAsia" w:hAnsi="Cambria Math"/>
                <w:lang w:val="bg-BG"/>
              </w:rPr>
              <m:t>SE375</m:t>
            </m:r>
          </m:e>
          <m:sub>
            <m:r>
              <w:rPr>
                <w:rFonts w:ascii="Cambria Math" w:eastAsiaTheme="minorEastAsia" w:hAnsi="Cambria Math"/>
                <w:lang w:val="bg-BG"/>
              </w:rPr>
              <m:t>BG,t</m:t>
            </m:r>
          </m:sub>
        </m:sSub>
        <m:r>
          <w:rPr>
            <w:rFonts w:ascii="Cambria Math" w:eastAsiaTheme="minorEastAsia" w:hAnsi="Cambria Math"/>
            <w:lang w:val="bg-BG"/>
          </w:rPr>
          <m:t>,</m:t>
        </m:r>
        <m:r>
          <w:rPr>
            <w:rFonts w:ascii="Cambria Math" w:eastAsiaTheme="minorEastAsia" w:hAnsi="Cambria Math"/>
          </w:rPr>
          <m:t xml:space="preserve"> </m:t>
        </m:r>
      </m:oMath>
      <w:r w:rsidR="002B4D66">
        <w:rPr>
          <w:rFonts w:ascii="Times New Roman" w:eastAsiaTheme="minorEastAsia" w:hAnsi="Times New Roman"/>
          <w:i/>
          <w:iCs/>
        </w:rPr>
        <w:t xml:space="preserve"> </w:t>
      </w:r>
      <m:oMath>
        <m:sSub>
          <m:sSubPr>
            <m:ctrlPr>
              <w:rPr>
                <w:rFonts w:ascii="Cambria Math" w:eastAsiaTheme="minorEastAsia" w:hAnsi="Cambria Math"/>
                <w:i/>
                <w:iCs/>
                <w:lang w:val="bg-BG"/>
              </w:rPr>
            </m:ctrlPr>
          </m:sSubPr>
          <m:e>
            <m:r>
              <w:rPr>
                <w:rFonts w:ascii="Cambria Math" w:eastAsiaTheme="minorEastAsia" w:hAnsi="Cambria Math"/>
                <w:lang w:val="bg-BG"/>
              </w:rPr>
              <m:t>R</m:t>
            </m:r>
            <m:r>
              <w:rPr>
                <w:rFonts w:ascii="Cambria Math" w:eastAsiaTheme="minorEastAsia" w:hAnsi="Cambria Math"/>
              </w:rPr>
              <m:t>E</m:t>
            </m:r>
          </m:e>
          <m:sub>
            <m:r>
              <w:rPr>
                <w:rFonts w:ascii="Cambria Math" w:eastAsiaTheme="minorEastAsia" w:hAnsi="Cambria Math"/>
                <w:lang w:val="bg-BG"/>
              </w:rPr>
              <m:t>E</m:t>
            </m:r>
            <m:r>
              <w:rPr>
                <w:rFonts w:ascii="Cambria Math" w:eastAsiaTheme="minorEastAsia" w:hAnsi="Cambria Math"/>
              </w:rPr>
              <m:t>U,t</m:t>
            </m:r>
          </m:sub>
        </m:sSub>
        <m:r>
          <w:rPr>
            <w:rFonts w:ascii="Cambria Math" w:eastAsiaTheme="minorEastAsia" w:hAnsi="Cambria Math"/>
            <w:lang w:val="bg-BG"/>
          </w:rPr>
          <m:t>=</m:t>
        </m:r>
        <m:sSub>
          <m:sSubPr>
            <m:ctrlPr>
              <w:rPr>
                <w:rFonts w:ascii="Cambria Math" w:eastAsiaTheme="minorEastAsia" w:hAnsi="Cambria Math"/>
                <w:i/>
                <w:iCs/>
                <w:lang w:val="bg-BG"/>
              </w:rPr>
            </m:ctrlPr>
          </m:sSubPr>
          <m:e>
            <m:r>
              <w:rPr>
                <w:rFonts w:ascii="Cambria Math" w:eastAsiaTheme="minorEastAsia" w:hAnsi="Cambria Math"/>
                <w:lang w:val="bg-BG"/>
              </w:rPr>
              <m:t>SE375</m:t>
            </m:r>
          </m:e>
          <m:sub>
            <m:r>
              <w:rPr>
                <w:rFonts w:ascii="Cambria Math" w:eastAsiaTheme="minorEastAsia" w:hAnsi="Cambria Math"/>
                <w:lang w:val="bg-BG"/>
              </w:rPr>
              <m:t>E</m:t>
            </m:r>
            <m:r>
              <w:rPr>
                <w:rFonts w:ascii="Cambria Math" w:eastAsiaTheme="minorEastAsia" w:hAnsi="Cambria Math"/>
              </w:rPr>
              <m:t>U</m:t>
            </m:r>
            <m:r>
              <w:rPr>
                <w:rFonts w:ascii="Cambria Math" w:eastAsiaTheme="minorEastAsia" w:hAnsi="Cambria Math"/>
                <w:lang w:val="bg-BG"/>
              </w:rPr>
              <m:t>,t</m:t>
            </m:r>
          </m:sub>
        </m:sSub>
      </m:oMath>
      <w:r w:rsidR="002B4D66">
        <w:rPr>
          <w:rFonts w:ascii="Times New Roman" w:eastAsiaTheme="minorEastAsia" w:hAnsi="Times New Roman"/>
          <w:i/>
          <w:iCs/>
        </w:rPr>
        <w:t>.</w:t>
      </w:r>
    </w:p>
    <w:p w14:paraId="2CE584B6" w14:textId="77777777" w:rsidR="002B4D66" w:rsidRDefault="002B4D66" w:rsidP="002B4D66">
      <w:pPr>
        <w:spacing w:line="360" w:lineRule="auto"/>
        <w:ind w:firstLine="720"/>
        <w:jc w:val="both"/>
        <w:rPr>
          <w:rFonts w:ascii="Times New Roman" w:hAnsi="Times New Roman"/>
          <w:lang w:val="bg-BG"/>
        </w:rPr>
      </w:pPr>
      <w:r w:rsidRPr="003B7843">
        <w:rPr>
          <w:rFonts w:ascii="Times New Roman" w:hAnsi="Times New Roman"/>
          <w:lang w:val="bg-BG"/>
        </w:rPr>
        <w:t>За всеки от избраните индикатори в анализа по производствена специализация е изчислен коефициент на относителна сравнителна оценка, чрез който се измерва относителното представяне на съответната изследвана единица спрямо референтното средно равнище и степента на вариация в наблюдаваната съвкупност. В рамките на настоящото изследване коефициентът на ОСО е изчислен по следната формула</w:t>
      </w:r>
      <w:r w:rsidRPr="00E50632">
        <w:rPr>
          <w:rFonts w:ascii="Times New Roman" w:hAnsi="Times New Roman"/>
          <w:lang w:val="bg-BG"/>
        </w:rPr>
        <w:t>:</w:t>
      </w:r>
    </w:p>
    <w:p w14:paraId="7C2100D9" w14:textId="77777777" w:rsidR="002B4D66" w:rsidRDefault="00000000" w:rsidP="002B4D66">
      <w:pPr>
        <w:spacing w:line="360" w:lineRule="auto"/>
        <w:ind w:firstLine="720"/>
        <w:jc w:val="both"/>
        <w:rPr>
          <w:rFonts w:ascii="Times New Roman" w:eastAsiaTheme="minorEastAsia" w:hAnsi="Times New Roman"/>
          <w:iCs/>
          <w:lang w:val="bg-BG"/>
        </w:rPr>
      </w:pPr>
      <m:oMath>
        <m:sSub>
          <m:sSubPr>
            <m:ctrlPr>
              <w:rPr>
                <w:rFonts w:ascii="Cambria Math" w:hAnsi="Cambria Math"/>
                <w:i/>
                <w:iCs/>
              </w:rPr>
            </m:ctrlPr>
          </m:sSubPr>
          <m:e>
            <m:r>
              <w:rPr>
                <w:rFonts w:ascii="Cambria Math" w:hAnsi="Cambria Math"/>
                <w:lang w:val="bg-BG"/>
              </w:rPr>
              <m:t>RCA</m:t>
            </m:r>
          </m:e>
          <m:sub>
            <m:r>
              <w:rPr>
                <w:rFonts w:ascii="Cambria Math" w:hAnsi="Cambria Math"/>
                <w:lang w:val="bg-BG"/>
              </w:rPr>
              <m:t>ij</m:t>
            </m:r>
          </m:sub>
        </m:sSub>
        <m:r>
          <m:rPr>
            <m:sty m:val="bi"/>
          </m:rPr>
          <w:rPr>
            <w:rFonts w:ascii="Cambria Math" w:hAnsi="Cambria Math"/>
            <w:lang w:val="bg-BG"/>
          </w:rPr>
          <m:t>=</m:t>
        </m:r>
        <m:f>
          <m:fPr>
            <m:ctrlPr>
              <w:rPr>
                <w:rFonts w:ascii="Cambria Math" w:hAnsi="Cambria Math"/>
                <w:i/>
                <w:iCs/>
              </w:rPr>
            </m:ctrlPr>
          </m:fPr>
          <m:num>
            <m:r>
              <w:rPr>
                <w:rFonts w:ascii="Cambria Math" w:hAnsi="Cambria Math"/>
              </w:rPr>
              <m:t>S</m:t>
            </m:r>
            <m:sSub>
              <m:sSubPr>
                <m:ctrlPr>
                  <w:rPr>
                    <w:rFonts w:ascii="Cambria Math" w:hAnsi="Cambria Math"/>
                    <w:i/>
                    <w:iCs/>
                  </w:rPr>
                </m:ctrlPr>
              </m:sSubPr>
              <m:e>
                <m:r>
                  <w:rPr>
                    <w:rFonts w:ascii="Cambria Math" w:hAnsi="Cambria Math"/>
                  </w:rPr>
                  <m:t>IV</m:t>
                </m:r>
              </m:e>
              <m:sub>
                <m:r>
                  <w:rPr>
                    <w:rFonts w:ascii="Cambria Math" w:hAnsi="Cambria Math"/>
                  </w:rPr>
                  <m:t>k</m:t>
                </m:r>
              </m:sub>
            </m:sSub>
          </m:num>
          <m:den>
            <m:sSub>
              <m:sSubPr>
                <m:ctrlPr>
                  <w:rPr>
                    <w:rFonts w:ascii="Cambria Math" w:hAnsi="Cambria Math"/>
                    <w:i/>
                    <w:iCs/>
                  </w:rPr>
                </m:ctrlPr>
              </m:sSubPr>
              <m:e>
                <m:r>
                  <w:rPr>
                    <w:rFonts w:ascii="Cambria Math" w:hAnsi="Cambria Math"/>
                  </w:rPr>
                  <m:t>AVR</m:t>
                </m:r>
              </m:e>
              <m:sub>
                <m:r>
                  <w:rPr>
                    <w:rFonts w:ascii="Cambria Math" w:hAnsi="Cambria Math"/>
                  </w:rPr>
                  <m:t>S</m:t>
                </m:r>
              </m:sub>
            </m:sSub>
            <m:r>
              <w:rPr>
                <w:rFonts w:ascii="Cambria Math" w:hAnsi="Cambria Math"/>
                <w:lang w:val="bg-BG"/>
              </w:rPr>
              <m:t>+</m:t>
            </m:r>
            <m:sSub>
              <m:sSubPr>
                <m:ctrlPr>
                  <w:rPr>
                    <w:rFonts w:ascii="Cambria Math" w:hAnsi="Cambria Math"/>
                    <w:i/>
                    <w:iCs/>
                  </w:rPr>
                </m:ctrlPr>
              </m:sSubPr>
              <m:e>
                <m:r>
                  <w:rPr>
                    <w:rFonts w:ascii="Cambria Math" w:hAnsi="Cambria Math"/>
                  </w:rPr>
                  <m:t>AVR</m:t>
                </m:r>
              </m:e>
              <m:sub>
                <m:r>
                  <w:rPr>
                    <w:rFonts w:ascii="Cambria Math" w:hAnsi="Cambria Math"/>
                  </w:rPr>
                  <m:t>S</m:t>
                </m:r>
              </m:sub>
            </m:sSub>
            <m:r>
              <w:rPr>
                <w:rFonts w:ascii="Cambria Math" w:hAnsi="Cambria Math"/>
                <w:lang w:val="bg-BG"/>
              </w:rPr>
              <m:t>×</m:t>
            </m:r>
            <m:r>
              <w:rPr>
                <w:rFonts w:ascii="Cambria Math" w:hAnsi="Cambria Math"/>
              </w:rPr>
              <m:t>CV</m:t>
            </m:r>
          </m:den>
        </m:f>
        <m:r>
          <w:rPr>
            <w:rFonts w:ascii="Cambria Math" w:hAnsi="Cambria Math"/>
            <w:lang w:val="bg-BG"/>
          </w:rPr>
          <m:t>*(0,5×0,5×</m:t>
        </m:r>
        <m:sSup>
          <m:sSupPr>
            <m:ctrlPr>
              <w:rPr>
                <w:rFonts w:ascii="Cambria Math" w:hAnsi="Cambria Math"/>
                <w:i/>
                <w:iCs/>
              </w:rPr>
            </m:ctrlPr>
          </m:sSupPr>
          <m:e>
            <m:r>
              <w:rPr>
                <w:rFonts w:ascii="Cambria Math" w:hAnsi="Cambria Math"/>
              </w:rPr>
              <m:t>CV</m:t>
            </m:r>
          </m:e>
          <m:sup>
            <m:r>
              <w:rPr>
                <w:rFonts w:ascii="Cambria Math" w:hAnsi="Cambria Math"/>
                <w:lang w:val="bg-BG"/>
              </w:rPr>
              <m:t>2</m:t>
            </m:r>
          </m:sup>
        </m:sSup>
        <m:r>
          <w:rPr>
            <w:rFonts w:ascii="Cambria Math" w:hAnsi="Cambria Math"/>
            <w:lang w:val="bg-BG"/>
          </w:rPr>
          <m:t>)</m:t>
        </m:r>
      </m:oMath>
      <w:r w:rsidR="002B4D66">
        <w:rPr>
          <w:rFonts w:ascii="Times New Roman" w:eastAsiaTheme="minorEastAsia" w:hAnsi="Times New Roman"/>
          <w:iCs/>
          <w:lang w:val="bg-BG"/>
        </w:rPr>
        <w:t xml:space="preserve">, </w:t>
      </w:r>
    </w:p>
    <w:p w14:paraId="192A70A8" w14:textId="197B8B85" w:rsidR="002B4D66" w:rsidRPr="002B4D66" w:rsidRDefault="002B4D66" w:rsidP="002B4D66">
      <w:pPr>
        <w:spacing w:line="360" w:lineRule="auto"/>
        <w:ind w:firstLine="720"/>
        <w:jc w:val="both"/>
        <w:rPr>
          <w:rFonts w:ascii="Times New Roman" w:eastAsiaTheme="minorEastAsia" w:hAnsi="Times New Roman"/>
          <w:iCs/>
          <w:lang w:val="bg-BG"/>
        </w:rPr>
      </w:pPr>
      <w:r>
        <w:rPr>
          <w:rFonts w:ascii="Times New Roman" w:eastAsiaTheme="minorEastAsia" w:hAnsi="Times New Roman"/>
          <w:iCs/>
          <w:lang w:val="bg-BG"/>
        </w:rPr>
        <w:t xml:space="preserve">където: </w:t>
      </w:r>
      <m:oMath>
        <m:sSub>
          <m:sSubPr>
            <m:ctrlPr>
              <w:rPr>
                <w:rFonts w:ascii="Cambria Math" w:hAnsi="Cambria Math"/>
                <w:i/>
                <w:iCs/>
              </w:rPr>
            </m:ctrlPr>
          </m:sSubPr>
          <m:e>
            <m:r>
              <w:rPr>
                <w:rFonts w:ascii="Cambria Math" w:hAnsi="Cambria Math"/>
                <w:lang w:val="bg-BG"/>
              </w:rPr>
              <m:t>RCA</m:t>
            </m:r>
          </m:e>
          <m:sub>
            <m:r>
              <w:rPr>
                <w:rFonts w:ascii="Cambria Math" w:hAnsi="Cambria Math"/>
                <w:lang w:val="bg-BG"/>
              </w:rPr>
              <m:t>ij</m:t>
            </m:r>
          </m:sub>
        </m:sSub>
      </m:oMath>
      <w:r>
        <w:rPr>
          <w:rFonts w:ascii="Times New Roman" w:eastAsiaTheme="minorEastAsia" w:hAnsi="Times New Roman"/>
          <w:iCs/>
          <w:lang w:val="bg-BG"/>
        </w:rPr>
        <w:t xml:space="preserve"> </w:t>
      </w:r>
      <w:r w:rsidRPr="003B7843">
        <w:rPr>
          <w:rFonts w:ascii="Times New Roman" w:eastAsiaTheme="minorEastAsia" w:hAnsi="Times New Roman"/>
          <w:iCs/>
          <w:lang w:val="bg-BG"/>
        </w:rPr>
        <w:t xml:space="preserve">е коефициентът на относителна сравнителна оценка за индикатор </w:t>
      </w:r>
      <w:r w:rsidRPr="003B7843">
        <w:rPr>
          <w:rFonts w:ascii="Cambria Math" w:eastAsiaTheme="minorEastAsia" w:hAnsi="Cambria Math" w:cs="Cambria Math"/>
          <w:iCs/>
          <w:lang w:val="bg-BG"/>
        </w:rPr>
        <w:t>𝑖</w:t>
      </w:r>
      <w:r>
        <w:rPr>
          <w:rFonts w:ascii="Times New Roman" w:eastAsiaTheme="minorEastAsia" w:hAnsi="Times New Roman"/>
          <w:iCs/>
          <w:lang w:val="bg-BG"/>
        </w:rPr>
        <w:t xml:space="preserve"> </w:t>
      </w:r>
      <w:r w:rsidRPr="003B7843">
        <w:rPr>
          <w:rFonts w:ascii="Times New Roman" w:eastAsiaTheme="minorEastAsia" w:hAnsi="Times New Roman"/>
          <w:iCs/>
          <w:lang w:val="bg-BG"/>
        </w:rPr>
        <w:t xml:space="preserve">в група </w:t>
      </w:r>
      <w:r w:rsidRPr="003B7843">
        <w:rPr>
          <w:rFonts w:ascii="Cambria Math" w:eastAsiaTheme="minorEastAsia" w:hAnsi="Cambria Math" w:cs="Cambria Math"/>
          <w:iCs/>
          <w:lang w:val="bg-BG"/>
        </w:rPr>
        <w:t>𝑗</w:t>
      </w:r>
      <w:r w:rsidRPr="003B7843">
        <w:rPr>
          <w:rFonts w:ascii="Times New Roman" w:eastAsiaTheme="minorEastAsia" w:hAnsi="Times New Roman"/>
          <w:iCs/>
          <w:lang w:val="bg-BG"/>
        </w:rPr>
        <w:t>;</w:t>
      </w:r>
      <w:r>
        <w:rPr>
          <w:rFonts w:ascii="Times New Roman" w:eastAsiaTheme="minorEastAsia" w:hAnsi="Times New Roman"/>
          <w:iCs/>
          <w:lang w:val="bg-BG"/>
        </w:rPr>
        <w:t xml:space="preserve"> </w:t>
      </w:r>
      <m:oMath>
        <m:r>
          <w:rPr>
            <w:rFonts w:ascii="Cambria Math" w:hAnsi="Cambria Math"/>
          </w:rPr>
          <m:t>S</m:t>
        </m:r>
        <m:sSub>
          <m:sSubPr>
            <m:ctrlPr>
              <w:rPr>
                <w:rFonts w:ascii="Cambria Math" w:hAnsi="Cambria Math"/>
                <w:i/>
                <w:iCs/>
              </w:rPr>
            </m:ctrlPr>
          </m:sSubPr>
          <m:e>
            <m:r>
              <w:rPr>
                <w:rFonts w:ascii="Cambria Math" w:hAnsi="Cambria Math"/>
              </w:rPr>
              <m:t>IV</m:t>
            </m:r>
          </m:e>
          <m:sub>
            <m:r>
              <w:rPr>
                <w:rFonts w:ascii="Cambria Math" w:hAnsi="Cambria Math"/>
              </w:rPr>
              <m:t>k</m:t>
            </m:r>
          </m:sub>
        </m:sSub>
      </m:oMath>
      <w:r>
        <w:rPr>
          <w:lang w:val="bg-BG"/>
        </w:rPr>
        <w:t xml:space="preserve"> </w:t>
      </w:r>
      <w:r w:rsidRPr="002B4D66">
        <w:rPr>
          <w:rFonts w:ascii="Times New Roman" w:eastAsiaTheme="minorEastAsia" w:hAnsi="Times New Roman"/>
          <w:iCs/>
          <w:lang w:val="bg-BG"/>
        </w:rPr>
        <w:t xml:space="preserve">обозначава стойността на изследвания индикатор за съответната производствена специализация или група стопанства; </w:t>
      </w:r>
      <m:oMath>
        <m:sSub>
          <m:sSubPr>
            <m:ctrlPr>
              <w:rPr>
                <w:rFonts w:ascii="Cambria Math" w:hAnsi="Cambria Math"/>
                <w:i/>
                <w:iCs/>
              </w:rPr>
            </m:ctrlPr>
          </m:sSubPr>
          <m:e>
            <m:r>
              <w:rPr>
                <w:rFonts w:ascii="Cambria Math" w:hAnsi="Cambria Math"/>
              </w:rPr>
              <m:t>AVR</m:t>
            </m:r>
          </m:e>
          <m:sub>
            <m:r>
              <w:rPr>
                <w:rFonts w:ascii="Cambria Math" w:hAnsi="Cambria Math"/>
              </w:rPr>
              <m:t>S</m:t>
            </m:r>
          </m:sub>
        </m:sSub>
      </m:oMath>
      <w:r>
        <w:rPr>
          <w:rFonts w:ascii="Times New Roman" w:eastAsiaTheme="minorEastAsia" w:hAnsi="Times New Roman"/>
          <w:iCs/>
          <w:lang w:val="bg-BG"/>
        </w:rPr>
        <w:t xml:space="preserve"> </w:t>
      </w:r>
      <w:r w:rsidRPr="002B4D66">
        <w:rPr>
          <w:rFonts w:ascii="Times New Roman" w:eastAsiaTheme="minorEastAsia" w:hAnsi="Times New Roman"/>
          <w:iCs/>
          <w:lang w:val="bg-BG"/>
        </w:rPr>
        <w:t xml:space="preserve">е средната стойност на същия индикатор за разглежданата съвкупност; </w:t>
      </w:r>
      <w:r w:rsidRPr="002B4D66">
        <w:rPr>
          <w:rFonts w:ascii="Times New Roman" w:eastAsiaTheme="minorEastAsia" w:hAnsi="Times New Roman"/>
          <w:i/>
          <w:lang w:val="bg-BG"/>
        </w:rPr>
        <w:t>CV</w:t>
      </w:r>
      <w:r w:rsidRPr="002B4D66">
        <w:rPr>
          <w:rFonts w:ascii="Times New Roman" w:eastAsiaTheme="minorEastAsia" w:hAnsi="Times New Roman"/>
          <w:iCs/>
          <w:lang w:val="bg-BG"/>
        </w:rPr>
        <w:t xml:space="preserve"> е коефициентът на вариация на показателя, чрез който се отчита степента на разсейване на наблюденията около средната стойност.</w:t>
      </w:r>
    </w:p>
    <w:p w14:paraId="61D81F51" w14:textId="7C5E77A6" w:rsidR="002B1E55" w:rsidRPr="002B1E55" w:rsidRDefault="002B1E55" w:rsidP="002B4D66">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Корелационният и детерминационният анализ изследва зависимостта между броя на стопанствата, одобрени за директни плащания, и количественото използване на минерални торове на базата на официални данни от Държавен фонд „Земеделие“ за периода 2007–2022г.</w:t>
      </w:r>
    </w:p>
    <w:p w14:paraId="51D41CAF" w14:textId="77777777" w:rsidR="002B4D66" w:rsidRPr="00D8792F" w:rsidRDefault="002B4D66" w:rsidP="002B4D66">
      <w:pPr>
        <w:pStyle w:val="Caption"/>
        <w:jc w:val="center"/>
        <w:rPr>
          <w:rFonts w:ascii="Times New Roman" w:eastAsia="Times New Roman" w:hAnsi="Times New Roman" w:cs="Times New Roman"/>
          <w:bCs/>
          <w:i w:val="0"/>
          <w:iCs w:val="0"/>
          <w:color w:val="auto"/>
          <w:sz w:val="32"/>
          <w:szCs w:val="32"/>
        </w:rPr>
      </w:pPr>
      <w:bookmarkStart w:id="10" w:name="_Toc228919081"/>
      <w:r w:rsidRPr="00D8792F">
        <w:rPr>
          <w:rFonts w:ascii="Times New Roman" w:hAnsi="Times New Roman" w:cs="Times New Roman"/>
          <w:i w:val="0"/>
          <w:iCs w:val="0"/>
          <w:color w:val="auto"/>
          <w:sz w:val="22"/>
          <w:szCs w:val="22"/>
        </w:rPr>
        <w:t xml:space="preserve">Таблица </w:t>
      </w:r>
      <w:r w:rsidRPr="00D8792F">
        <w:rPr>
          <w:rFonts w:ascii="Times New Roman" w:hAnsi="Times New Roman" w:cs="Times New Roman"/>
          <w:i w:val="0"/>
          <w:iCs w:val="0"/>
          <w:color w:val="auto"/>
          <w:sz w:val="22"/>
          <w:szCs w:val="22"/>
        </w:rPr>
        <w:fldChar w:fldCharType="begin"/>
      </w:r>
      <w:r w:rsidRPr="00D8792F">
        <w:rPr>
          <w:rFonts w:ascii="Times New Roman" w:hAnsi="Times New Roman" w:cs="Times New Roman"/>
          <w:i w:val="0"/>
          <w:iCs w:val="0"/>
          <w:color w:val="auto"/>
          <w:sz w:val="22"/>
          <w:szCs w:val="22"/>
        </w:rPr>
        <w:instrText xml:space="preserve"> SEQ Таблица \* ARABIC </w:instrText>
      </w:r>
      <w:r w:rsidRPr="00D8792F">
        <w:rPr>
          <w:rFonts w:ascii="Times New Roman" w:hAnsi="Times New Roman" w:cs="Times New Roman"/>
          <w:i w:val="0"/>
          <w:iCs w:val="0"/>
          <w:color w:val="auto"/>
          <w:sz w:val="22"/>
          <w:szCs w:val="22"/>
        </w:rPr>
        <w:fldChar w:fldCharType="separate"/>
      </w:r>
      <w:r>
        <w:rPr>
          <w:rFonts w:ascii="Times New Roman" w:hAnsi="Times New Roman" w:cs="Times New Roman"/>
          <w:i w:val="0"/>
          <w:iCs w:val="0"/>
          <w:noProof/>
          <w:color w:val="auto"/>
          <w:sz w:val="22"/>
          <w:szCs w:val="22"/>
        </w:rPr>
        <w:t>72</w:t>
      </w:r>
      <w:r w:rsidRPr="00D8792F">
        <w:rPr>
          <w:rFonts w:ascii="Times New Roman" w:hAnsi="Times New Roman" w:cs="Times New Roman"/>
          <w:i w:val="0"/>
          <w:iCs w:val="0"/>
          <w:color w:val="auto"/>
          <w:sz w:val="22"/>
          <w:szCs w:val="22"/>
        </w:rPr>
        <w:fldChar w:fldCharType="end"/>
      </w:r>
      <w:r w:rsidRPr="00D8792F">
        <w:rPr>
          <w:rFonts w:ascii="Times New Roman" w:hAnsi="Times New Roman" w:cs="Times New Roman"/>
          <w:i w:val="0"/>
          <w:iCs w:val="0"/>
          <w:color w:val="auto"/>
          <w:sz w:val="22"/>
          <w:szCs w:val="22"/>
          <w:lang w:val="bg-BG"/>
        </w:rPr>
        <w:t xml:space="preserve"> Брой на стопанствата, одобрени за директни плащания, и използване на минерални азотни торове в България, 2007–2022 г.</w:t>
      </w:r>
      <w:bookmarkEnd w:id="10"/>
    </w:p>
    <w:tbl>
      <w:tblPr>
        <w:tblW w:w="4080" w:type="dxa"/>
        <w:jc w:val="center"/>
        <w:tblLook w:val="04A0" w:firstRow="1" w:lastRow="0" w:firstColumn="1" w:lastColumn="0" w:noHBand="0" w:noVBand="1"/>
      </w:tblPr>
      <w:tblGrid>
        <w:gridCol w:w="979"/>
        <w:gridCol w:w="1428"/>
        <w:gridCol w:w="1673"/>
      </w:tblGrid>
      <w:tr w:rsidR="002B4D66" w:rsidRPr="00D8792F" w14:paraId="01F19F71" w14:textId="77777777" w:rsidTr="00BA1CD0">
        <w:trPr>
          <w:trHeight w:val="1104"/>
          <w:jc w:val="center"/>
        </w:trPr>
        <w:tc>
          <w:tcPr>
            <w:tcW w:w="958" w:type="dxa"/>
            <w:tcBorders>
              <w:top w:val="single" w:sz="4" w:space="0" w:color="auto"/>
              <w:left w:val="single" w:sz="4" w:space="0" w:color="auto"/>
              <w:bottom w:val="single" w:sz="4" w:space="0" w:color="auto"/>
              <w:right w:val="single" w:sz="4" w:space="0" w:color="auto"/>
            </w:tcBorders>
            <w:vAlign w:val="center"/>
            <w:hideMark/>
          </w:tcPr>
          <w:p w14:paraId="515D5990" w14:textId="77777777" w:rsidR="002B4D66" w:rsidRPr="00D8792F" w:rsidRDefault="002B4D66" w:rsidP="00BA1CD0">
            <w:pPr>
              <w:spacing w:after="0" w:line="240" w:lineRule="auto"/>
              <w:jc w:val="center"/>
              <w:rPr>
                <w:rFonts w:ascii="Times New Roman" w:eastAsia="Times New Roman" w:hAnsi="Times New Roman" w:cs="Times New Roman"/>
                <w:b/>
                <w:bCs/>
                <w:color w:val="000000"/>
              </w:rPr>
            </w:pPr>
            <w:r w:rsidRPr="00D8792F">
              <w:rPr>
                <w:rFonts w:ascii="Times New Roman" w:eastAsia="Times New Roman" w:hAnsi="Times New Roman" w:cs="Times New Roman"/>
                <w:b/>
                <w:bCs/>
                <w:color w:val="000000"/>
              </w:rPr>
              <w:lastRenderedPageBreak/>
              <w:t>Година</w:t>
            </w:r>
          </w:p>
        </w:tc>
        <w:tc>
          <w:tcPr>
            <w:tcW w:w="1330" w:type="dxa"/>
            <w:tcBorders>
              <w:top w:val="single" w:sz="4" w:space="0" w:color="auto"/>
              <w:left w:val="nil"/>
              <w:bottom w:val="single" w:sz="4" w:space="0" w:color="auto"/>
              <w:right w:val="single" w:sz="4" w:space="0" w:color="auto"/>
            </w:tcBorders>
            <w:vAlign w:val="center"/>
            <w:hideMark/>
          </w:tcPr>
          <w:p w14:paraId="0541CA0D" w14:textId="77777777" w:rsidR="002B4D66" w:rsidRPr="00D8792F" w:rsidRDefault="002B4D66" w:rsidP="00BA1CD0">
            <w:pPr>
              <w:spacing w:after="0" w:line="240" w:lineRule="auto"/>
              <w:jc w:val="center"/>
              <w:rPr>
                <w:rFonts w:ascii="Times New Roman" w:eastAsia="Times New Roman" w:hAnsi="Times New Roman" w:cs="Times New Roman"/>
                <w:b/>
                <w:bCs/>
                <w:color w:val="000000"/>
              </w:rPr>
            </w:pPr>
            <w:r w:rsidRPr="00D8792F">
              <w:rPr>
                <w:rFonts w:ascii="Times New Roman" w:eastAsia="Times New Roman" w:hAnsi="Times New Roman" w:cs="Times New Roman"/>
                <w:b/>
                <w:bCs/>
                <w:color w:val="000000"/>
              </w:rPr>
              <w:t>Брой стопанства (хил.)</w:t>
            </w:r>
          </w:p>
        </w:tc>
        <w:tc>
          <w:tcPr>
            <w:tcW w:w="1792" w:type="dxa"/>
            <w:tcBorders>
              <w:top w:val="single" w:sz="4" w:space="0" w:color="auto"/>
              <w:left w:val="nil"/>
              <w:bottom w:val="single" w:sz="4" w:space="0" w:color="auto"/>
              <w:right w:val="single" w:sz="4" w:space="0" w:color="auto"/>
            </w:tcBorders>
            <w:vAlign w:val="center"/>
            <w:hideMark/>
          </w:tcPr>
          <w:p w14:paraId="47F0F4F1" w14:textId="77777777" w:rsidR="002B4D66" w:rsidRPr="00D8792F" w:rsidRDefault="002B4D66" w:rsidP="00BA1CD0">
            <w:pPr>
              <w:spacing w:after="0" w:line="240" w:lineRule="auto"/>
              <w:jc w:val="center"/>
              <w:rPr>
                <w:rFonts w:ascii="Times New Roman" w:eastAsia="Times New Roman" w:hAnsi="Times New Roman" w:cs="Times New Roman"/>
                <w:b/>
                <w:bCs/>
                <w:color w:val="000000"/>
              </w:rPr>
            </w:pPr>
            <w:r w:rsidRPr="00D8792F">
              <w:rPr>
                <w:rFonts w:ascii="Times New Roman" w:eastAsia="Times New Roman" w:hAnsi="Times New Roman" w:cs="Times New Roman"/>
                <w:b/>
                <w:bCs/>
                <w:color w:val="000000"/>
              </w:rPr>
              <w:t>Минерални азотни торове (т)</w:t>
            </w:r>
          </w:p>
        </w:tc>
      </w:tr>
      <w:tr w:rsidR="002B4D66" w:rsidRPr="00D8792F" w14:paraId="53F94D8F"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2D7E5605"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2007</w:t>
            </w:r>
          </w:p>
        </w:tc>
        <w:tc>
          <w:tcPr>
            <w:tcW w:w="1330" w:type="dxa"/>
            <w:tcBorders>
              <w:top w:val="nil"/>
              <w:left w:val="nil"/>
              <w:bottom w:val="single" w:sz="4" w:space="0" w:color="auto"/>
              <w:right w:val="single" w:sz="4" w:space="0" w:color="auto"/>
            </w:tcBorders>
            <w:vAlign w:val="center"/>
            <w:hideMark/>
          </w:tcPr>
          <w:p w14:paraId="62B6B87C"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78,79</w:t>
            </w:r>
          </w:p>
        </w:tc>
        <w:tc>
          <w:tcPr>
            <w:tcW w:w="1792" w:type="dxa"/>
            <w:tcBorders>
              <w:top w:val="nil"/>
              <w:left w:val="nil"/>
              <w:bottom w:val="single" w:sz="4" w:space="0" w:color="auto"/>
              <w:right w:val="single" w:sz="4" w:space="0" w:color="auto"/>
            </w:tcBorders>
            <w:vAlign w:val="center"/>
            <w:hideMark/>
          </w:tcPr>
          <w:p w14:paraId="16D06682"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177 936</w:t>
            </w:r>
          </w:p>
        </w:tc>
      </w:tr>
      <w:tr w:rsidR="002B4D66" w:rsidRPr="00D8792F" w14:paraId="1A1893AE"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1E2159F7"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2008</w:t>
            </w:r>
          </w:p>
        </w:tc>
        <w:tc>
          <w:tcPr>
            <w:tcW w:w="1330" w:type="dxa"/>
            <w:tcBorders>
              <w:top w:val="nil"/>
              <w:left w:val="nil"/>
              <w:bottom w:val="single" w:sz="4" w:space="0" w:color="auto"/>
              <w:right w:val="single" w:sz="4" w:space="0" w:color="auto"/>
            </w:tcBorders>
            <w:vAlign w:val="center"/>
            <w:hideMark/>
          </w:tcPr>
          <w:p w14:paraId="00852B9B"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80,35</w:t>
            </w:r>
          </w:p>
        </w:tc>
        <w:tc>
          <w:tcPr>
            <w:tcW w:w="1792" w:type="dxa"/>
            <w:tcBorders>
              <w:top w:val="nil"/>
              <w:left w:val="nil"/>
              <w:bottom w:val="single" w:sz="4" w:space="0" w:color="auto"/>
              <w:right w:val="single" w:sz="4" w:space="0" w:color="auto"/>
            </w:tcBorders>
            <w:vAlign w:val="center"/>
            <w:hideMark/>
          </w:tcPr>
          <w:p w14:paraId="0FE688BE"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173 917</w:t>
            </w:r>
          </w:p>
        </w:tc>
      </w:tr>
      <w:tr w:rsidR="002B4D66" w:rsidRPr="00D8792F" w14:paraId="137C7155"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3BE63119"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2009</w:t>
            </w:r>
          </w:p>
        </w:tc>
        <w:tc>
          <w:tcPr>
            <w:tcW w:w="1330" w:type="dxa"/>
            <w:tcBorders>
              <w:top w:val="nil"/>
              <w:left w:val="nil"/>
              <w:bottom w:val="single" w:sz="4" w:space="0" w:color="auto"/>
              <w:right w:val="single" w:sz="4" w:space="0" w:color="auto"/>
            </w:tcBorders>
            <w:vAlign w:val="center"/>
            <w:hideMark/>
          </w:tcPr>
          <w:p w14:paraId="08F654BB"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79,17</w:t>
            </w:r>
          </w:p>
        </w:tc>
        <w:tc>
          <w:tcPr>
            <w:tcW w:w="1792" w:type="dxa"/>
            <w:tcBorders>
              <w:top w:val="nil"/>
              <w:left w:val="nil"/>
              <w:bottom w:val="single" w:sz="4" w:space="0" w:color="auto"/>
              <w:right w:val="single" w:sz="4" w:space="0" w:color="auto"/>
            </w:tcBorders>
            <w:vAlign w:val="center"/>
            <w:hideMark/>
          </w:tcPr>
          <w:p w14:paraId="6D1D2E0C"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177 553</w:t>
            </w:r>
          </w:p>
        </w:tc>
      </w:tr>
      <w:tr w:rsidR="002B4D66" w:rsidRPr="00D8792F" w14:paraId="4A4DA798"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28147DCE"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2010</w:t>
            </w:r>
          </w:p>
        </w:tc>
        <w:tc>
          <w:tcPr>
            <w:tcW w:w="1330" w:type="dxa"/>
            <w:tcBorders>
              <w:top w:val="nil"/>
              <w:left w:val="nil"/>
              <w:bottom w:val="single" w:sz="4" w:space="0" w:color="auto"/>
              <w:right w:val="single" w:sz="4" w:space="0" w:color="auto"/>
            </w:tcBorders>
            <w:vAlign w:val="center"/>
            <w:hideMark/>
          </w:tcPr>
          <w:p w14:paraId="352B1CF5"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93,32</w:t>
            </w:r>
          </w:p>
        </w:tc>
        <w:tc>
          <w:tcPr>
            <w:tcW w:w="1792" w:type="dxa"/>
            <w:tcBorders>
              <w:top w:val="nil"/>
              <w:left w:val="nil"/>
              <w:bottom w:val="single" w:sz="4" w:space="0" w:color="auto"/>
              <w:right w:val="single" w:sz="4" w:space="0" w:color="auto"/>
            </w:tcBorders>
            <w:vAlign w:val="center"/>
            <w:hideMark/>
          </w:tcPr>
          <w:p w14:paraId="5202A3AB"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199 083</w:t>
            </w:r>
          </w:p>
        </w:tc>
      </w:tr>
      <w:tr w:rsidR="002B4D66" w:rsidRPr="00D8792F" w14:paraId="792B9868"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20234F35"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2011</w:t>
            </w:r>
          </w:p>
        </w:tc>
        <w:tc>
          <w:tcPr>
            <w:tcW w:w="1330" w:type="dxa"/>
            <w:tcBorders>
              <w:top w:val="nil"/>
              <w:left w:val="nil"/>
              <w:bottom w:val="single" w:sz="4" w:space="0" w:color="auto"/>
              <w:right w:val="single" w:sz="4" w:space="0" w:color="auto"/>
            </w:tcBorders>
            <w:vAlign w:val="center"/>
            <w:hideMark/>
          </w:tcPr>
          <w:p w14:paraId="05A267B1"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89,78</w:t>
            </w:r>
          </w:p>
        </w:tc>
        <w:tc>
          <w:tcPr>
            <w:tcW w:w="1792" w:type="dxa"/>
            <w:tcBorders>
              <w:top w:val="nil"/>
              <w:left w:val="nil"/>
              <w:bottom w:val="single" w:sz="4" w:space="0" w:color="auto"/>
              <w:right w:val="single" w:sz="4" w:space="0" w:color="auto"/>
            </w:tcBorders>
            <w:vAlign w:val="center"/>
            <w:hideMark/>
          </w:tcPr>
          <w:p w14:paraId="4270B70F"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192 357</w:t>
            </w:r>
          </w:p>
        </w:tc>
      </w:tr>
      <w:tr w:rsidR="002B4D66" w:rsidRPr="00D8792F" w14:paraId="0EA6D44D"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1882C572"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2012</w:t>
            </w:r>
          </w:p>
        </w:tc>
        <w:tc>
          <w:tcPr>
            <w:tcW w:w="1330" w:type="dxa"/>
            <w:tcBorders>
              <w:top w:val="nil"/>
              <w:left w:val="nil"/>
              <w:bottom w:val="single" w:sz="4" w:space="0" w:color="auto"/>
              <w:right w:val="single" w:sz="4" w:space="0" w:color="auto"/>
            </w:tcBorders>
            <w:vAlign w:val="center"/>
            <w:hideMark/>
          </w:tcPr>
          <w:p w14:paraId="6BDD5D09"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86,42</w:t>
            </w:r>
          </w:p>
        </w:tc>
        <w:tc>
          <w:tcPr>
            <w:tcW w:w="1792" w:type="dxa"/>
            <w:tcBorders>
              <w:top w:val="nil"/>
              <w:left w:val="nil"/>
              <w:bottom w:val="single" w:sz="4" w:space="0" w:color="auto"/>
              <w:right w:val="single" w:sz="4" w:space="0" w:color="auto"/>
            </w:tcBorders>
            <w:vAlign w:val="center"/>
            <w:hideMark/>
          </w:tcPr>
          <w:p w14:paraId="26470C12"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235 386</w:t>
            </w:r>
          </w:p>
        </w:tc>
      </w:tr>
      <w:tr w:rsidR="002B4D66" w:rsidRPr="00D8792F" w14:paraId="22559600"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312B4592"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2013</w:t>
            </w:r>
          </w:p>
        </w:tc>
        <w:tc>
          <w:tcPr>
            <w:tcW w:w="1330" w:type="dxa"/>
            <w:tcBorders>
              <w:top w:val="nil"/>
              <w:left w:val="nil"/>
              <w:bottom w:val="single" w:sz="4" w:space="0" w:color="auto"/>
              <w:right w:val="single" w:sz="4" w:space="0" w:color="auto"/>
            </w:tcBorders>
            <w:vAlign w:val="center"/>
            <w:hideMark/>
          </w:tcPr>
          <w:p w14:paraId="6418C356"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90,49</w:t>
            </w:r>
          </w:p>
        </w:tc>
        <w:tc>
          <w:tcPr>
            <w:tcW w:w="1792" w:type="dxa"/>
            <w:tcBorders>
              <w:top w:val="nil"/>
              <w:left w:val="nil"/>
              <w:bottom w:val="single" w:sz="4" w:space="0" w:color="auto"/>
              <w:right w:val="single" w:sz="4" w:space="0" w:color="auto"/>
            </w:tcBorders>
            <w:vAlign w:val="center"/>
            <w:hideMark/>
          </w:tcPr>
          <w:p w14:paraId="250A9728"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258 856</w:t>
            </w:r>
          </w:p>
        </w:tc>
      </w:tr>
      <w:tr w:rsidR="002B4D66" w:rsidRPr="00D8792F" w14:paraId="008D2F9D"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486847E1"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2014</w:t>
            </w:r>
          </w:p>
        </w:tc>
        <w:tc>
          <w:tcPr>
            <w:tcW w:w="1330" w:type="dxa"/>
            <w:tcBorders>
              <w:top w:val="nil"/>
              <w:left w:val="nil"/>
              <w:bottom w:val="single" w:sz="4" w:space="0" w:color="auto"/>
              <w:right w:val="single" w:sz="4" w:space="0" w:color="auto"/>
            </w:tcBorders>
            <w:vAlign w:val="center"/>
            <w:hideMark/>
          </w:tcPr>
          <w:p w14:paraId="639A6052"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98,94</w:t>
            </w:r>
          </w:p>
        </w:tc>
        <w:tc>
          <w:tcPr>
            <w:tcW w:w="1792" w:type="dxa"/>
            <w:tcBorders>
              <w:top w:val="nil"/>
              <w:left w:val="nil"/>
              <w:bottom w:val="single" w:sz="4" w:space="0" w:color="auto"/>
              <w:right w:val="single" w:sz="4" w:space="0" w:color="auto"/>
            </w:tcBorders>
            <w:vAlign w:val="center"/>
            <w:hideMark/>
          </w:tcPr>
          <w:p w14:paraId="346E24F9"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322 004</w:t>
            </w:r>
          </w:p>
        </w:tc>
      </w:tr>
      <w:tr w:rsidR="002B4D66" w:rsidRPr="00D8792F" w14:paraId="65C7A6A2"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436854A1"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2015</w:t>
            </w:r>
          </w:p>
        </w:tc>
        <w:tc>
          <w:tcPr>
            <w:tcW w:w="1330" w:type="dxa"/>
            <w:tcBorders>
              <w:top w:val="nil"/>
              <w:left w:val="nil"/>
              <w:bottom w:val="single" w:sz="4" w:space="0" w:color="auto"/>
              <w:right w:val="single" w:sz="4" w:space="0" w:color="auto"/>
            </w:tcBorders>
            <w:vAlign w:val="center"/>
            <w:hideMark/>
          </w:tcPr>
          <w:p w14:paraId="14837FFB"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67,36</w:t>
            </w:r>
          </w:p>
        </w:tc>
        <w:tc>
          <w:tcPr>
            <w:tcW w:w="1792" w:type="dxa"/>
            <w:tcBorders>
              <w:top w:val="nil"/>
              <w:left w:val="nil"/>
              <w:bottom w:val="single" w:sz="4" w:space="0" w:color="auto"/>
              <w:right w:val="single" w:sz="4" w:space="0" w:color="auto"/>
            </w:tcBorders>
            <w:vAlign w:val="center"/>
            <w:hideMark/>
          </w:tcPr>
          <w:p w14:paraId="13D176CF"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341 608</w:t>
            </w:r>
          </w:p>
        </w:tc>
      </w:tr>
      <w:tr w:rsidR="002B4D66" w:rsidRPr="00D8792F" w14:paraId="6DD91E88"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375080F9"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2016</w:t>
            </w:r>
          </w:p>
        </w:tc>
        <w:tc>
          <w:tcPr>
            <w:tcW w:w="1330" w:type="dxa"/>
            <w:tcBorders>
              <w:top w:val="nil"/>
              <w:left w:val="nil"/>
              <w:bottom w:val="single" w:sz="4" w:space="0" w:color="auto"/>
              <w:right w:val="single" w:sz="4" w:space="0" w:color="auto"/>
            </w:tcBorders>
            <w:vAlign w:val="center"/>
            <w:hideMark/>
          </w:tcPr>
          <w:p w14:paraId="2670AE6B"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67,29</w:t>
            </w:r>
          </w:p>
        </w:tc>
        <w:tc>
          <w:tcPr>
            <w:tcW w:w="1792" w:type="dxa"/>
            <w:tcBorders>
              <w:top w:val="nil"/>
              <w:left w:val="nil"/>
              <w:bottom w:val="single" w:sz="4" w:space="0" w:color="auto"/>
              <w:right w:val="single" w:sz="4" w:space="0" w:color="auto"/>
            </w:tcBorders>
            <w:vAlign w:val="center"/>
            <w:hideMark/>
          </w:tcPr>
          <w:p w14:paraId="4BE0102B"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365 913</w:t>
            </w:r>
          </w:p>
        </w:tc>
      </w:tr>
      <w:tr w:rsidR="002B4D66" w:rsidRPr="00D8792F" w14:paraId="60691C0D"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3D752A3D"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2017</w:t>
            </w:r>
          </w:p>
        </w:tc>
        <w:tc>
          <w:tcPr>
            <w:tcW w:w="1330" w:type="dxa"/>
            <w:tcBorders>
              <w:top w:val="nil"/>
              <w:left w:val="nil"/>
              <w:bottom w:val="single" w:sz="4" w:space="0" w:color="auto"/>
              <w:right w:val="single" w:sz="4" w:space="0" w:color="auto"/>
            </w:tcBorders>
            <w:vAlign w:val="center"/>
            <w:hideMark/>
          </w:tcPr>
          <w:p w14:paraId="52E2301D"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67,89</w:t>
            </w:r>
          </w:p>
        </w:tc>
        <w:tc>
          <w:tcPr>
            <w:tcW w:w="1792" w:type="dxa"/>
            <w:tcBorders>
              <w:top w:val="nil"/>
              <w:left w:val="nil"/>
              <w:bottom w:val="single" w:sz="4" w:space="0" w:color="auto"/>
              <w:right w:val="single" w:sz="4" w:space="0" w:color="auto"/>
            </w:tcBorders>
            <w:vAlign w:val="center"/>
            <w:hideMark/>
          </w:tcPr>
          <w:p w14:paraId="4A5CAD17"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351 120</w:t>
            </w:r>
          </w:p>
        </w:tc>
      </w:tr>
      <w:tr w:rsidR="002B4D66" w:rsidRPr="00D8792F" w14:paraId="6ABC2780"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3B66109D"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2018</w:t>
            </w:r>
          </w:p>
        </w:tc>
        <w:tc>
          <w:tcPr>
            <w:tcW w:w="1330" w:type="dxa"/>
            <w:tcBorders>
              <w:top w:val="nil"/>
              <w:left w:val="nil"/>
              <w:bottom w:val="single" w:sz="4" w:space="0" w:color="auto"/>
              <w:right w:val="single" w:sz="4" w:space="0" w:color="auto"/>
            </w:tcBorders>
            <w:vAlign w:val="center"/>
            <w:hideMark/>
          </w:tcPr>
          <w:p w14:paraId="55983478"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66,05</w:t>
            </w:r>
          </w:p>
        </w:tc>
        <w:tc>
          <w:tcPr>
            <w:tcW w:w="1792" w:type="dxa"/>
            <w:tcBorders>
              <w:top w:val="nil"/>
              <w:left w:val="nil"/>
              <w:bottom w:val="single" w:sz="4" w:space="0" w:color="auto"/>
              <w:right w:val="single" w:sz="4" w:space="0" w:color="auto"/>
            </w:tcBorders>
            <w:vAlign w:val="center"/>
            <w:hideMark/>
          </w:tcPr>
          <w:p w14:paraId="4B21CCD7"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339 329</w:t>
            </w:r>
          </w:p>
        </w:tc>
      </w:tr>
      <w:tr w:rsidR="002B4D66" w:rsidRPr="00D8792F" w14:paraId="27A9D589"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4F4439B5"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2019</w:t>
            </w:r>
          </w:p>
        </w:tc>
        <w:tc>
          <w:tcPr>
            <w:tcW w:w="1330" w:type="dxa"/>
            <w:tcBorders>
              <w:top w:val="nil"/>
              <w:left w:val="nil"/>
              <w:bottom w:val="single" w:sz="4" w:space="0" w:color="auto"/>
              <w:right w:val="single" w:sz="4" w:space="0" w:color="auto"/>
            </w:tcBorders>
            <w:vAlign w:val="center"/>
            <w:hideMark/>
          </w:tcPr>
          <w:p w14:paraId="0766B74A"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62,95</w:t>
            </w:r>
          </w:p>
        </w:tc>
        <w:tc>
          <w:tcPr>
            <w:tcW w:w="1792" w:type="dxa"/>
            <w:tcBorders>
              <w:top w:val="nil"/>
              <w:left w:val="nil"/>
              <w:bottom w:val="single" w:sz="4" w:space="0" w:color="auto"/>
              <w:right w:val="single" w:sz="4" w:space="0" w:color="auto"/>
            </w:tcBorders>
            <w:vAlign w:val="center"/>
            <w:hideMark/>
          </w:tcPr>
          <w:p w14:paraId="0A923FE4"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352 486</w:t>
            </w:r>
          </w:p>
        </w:tc>
      </w:tr>
      <w:tr w:rsidR="002B4D66" w:rsidRPr="00D8792F" w14:paraId="6D14A701"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3971BC17"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2020</w:t>
            </w:r>
          </w:p>
        </w:tc>
        <w:tc>
          <w:tcPr>
            <w:tcW w:w="1330" w:type="dxa"/>
            <w:tcBorders>
              <w:top w:val="nil"/>
              <w:left w:val="nil"/>
              <w:bottom w:val="single" w:sz="4" w:space="0" w:color="auto"/>
              <w:right w:val="single" w:sz="4" w:space="0" w:color="auto"/>
            </w:tcBorders>
            <w:vAlign w:val="center"/>
            <w:hideMark/>
          </w:tcPr>
          <w:p w14:paraId="5B499798"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60,17</w:t>
            </w:r>
          </w:p>
        </w:tc>
        <w:tc>
          <w:tcPr>
            <w:tcW w:w="1792" w:type="dxa"/>
            <w:tcBorders>
              <w:top w:val="nil"/>
              <w:left w:val="nil"/>
              <w:bottom w:val="single" w:sz="4" w:space="0" w:color="auto"/>
              <w:right w:val="single" w:sz="4" w:space="0" w:color="auto"/>
            </w:tcBorders>
            <w:vAlign w:val="center"/>
            <w:hideMark/>
          </w:tcPr>
          <w:p w14:paraId="314988DF"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364 335</w:t>
            </w:r>
          </w:p>
        </w:tc>
      </w:tr>
      <w:tr w:rsidR="002B4D66" w:rsidRPr="00D8792F" w14:paraId="72FF83E4"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4C57C2F4"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2021</w:t>
            </w:r>
          </w:p>
        </w:tc>
        <w:tc>
          <w:tcPr>
            <w:tcW w:w="1330" w:type="dxa"/>
            <w:tcBorders>
              <w:top w:val="nil"/>
              <w:left w:val="nil"/>
              <w:bottom w:val="single" w:sz="4" w:space="0" w:color="auto"/>
              <w:right w:val="single" w:sz="4" w:space="0" w:color="auto"/>
            </w:tcBorders>
            <w:vAlign w:val="center"/>
            <w:hideMark/>
          </w:tcPr>
          <w:p w14:paraId="5DDEF291"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58,60</w:t>
            </w:r>
          </w:p>
        </w:tc>
        <w:tc>
          <w:tcPr>
            <w:tcW w:w="1792" w:type="dxa"/>
            <w:tcBorders>
              <w:top w:val="nil"/>
              <w:left w:val="nil"/>
              <w:bottom w:val="single" w:sz="4" w:space="0" w:color="auto"/>
              <w:right w:val="single" w:sz="4" w:space="0" w:color="auto"/>
            </w:tcBorders>
            <w:vAlign w:val="center"/>
            <w:hideMark/>
          </w:tcPr>
          <w:p w14:paraId="4D0C7C0B"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342 890</w:t>
            </w:r>
          </w:p>
        </w:tc>
      </w:tr>
      <w:tr w:rsidR="002B4D66" w:rsidRPr="00D8792F" w14:paraId="0B5F654C" w14:textId="77777777" w:rsidTr="00BA1CD0">
        <w:trPr>
          <w:trHeight w:val="288"/>
          <w:jc w:val="center"/>
        </w:trPr>
        <w:tc>
          <w:tcPr>
            <w:tcW w:w="958" w:type="dxa"/>
            <w:tcBorders>
              <w:top w:val="nil"/>
              <w:left w:val="single" w:sz="4" w:space="0" w:color="auto"/>
              <w:bottom w:val="single" w:sz="4" w:space="0" w:color="auto"/>
              <w:right w:val="single" w:sz="4" w:space="0" w:color="auto"/>
            </w:tcBorders>
            <w:vAlign w:val="center"/>
            <w:hideMark/>
          </w:tcPr>
          <w:p w14:paraId="4F73B01F"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2022</w:t>
            </w:r>
          </w:p>
        </w:tc>
        <w:tc>
          <w:tcPr>
            <w:tcW w:w="1330" w:type="dxa"/>
            <w:tcBorders>
              <w:top w:val="nil"/>
              <w:left w:val="nil"/>
              <w:bottom w:val="single" w:sz="4" w:space="0" w:color="auto"/>
              <w:right w:val="single" w:sz="4" w:space="0" w:color="auto"/>
            </w:tcBorders>
            <w:vAlign w:val="center"/>
            <w:hideMark/>
          </w:tcPr>
          <w:p w14:paraId="24387D7D" w14:textId="77777777" w:rsidR="002B4D66" w:rsidRPr="00D8792F" w:rsidRDefault="002B4D66"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56,49</w:t>
            </w:r>
          </w:p>
        </w:tc>
        <w:tc>
          <w:tcPr>
            <w:tcW w:w="1792" w:type="dxa"/>
            <w:tcBorders>
              <w:top w:val="nil"/>
              <w:left w:val="nil"/>
              <w:bottom w:val="single" w:sz="4" w:space="0" w:color="auto"/>
              <w:right w:val="single" w:sz="4" w:space="0" w:color="auto"/>
            </w:tcBorders>
            <w:vAlign w:val="center"/>
            <w:hideMark/>
          </w:tcPr>
          <w:p w14:paraId="2632F14A" w14:textId="77777777" w:rsidR="002B4D66" w:rsidRPr="00D8792F" w:rsidRDefault="002B4D66" w:rsidP="00BA1CD0">
            <w:pPr>
              <w:keepNext/>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354 479</w:t>
            </w:r>
          </w:p>
        </w:tc>
      </w:tr>
    </w:tbl>
    <w:p w14:paraId="65BDDE0A" w14:textId="77777777" w:rsidR="002B4D66" w:rsidRPr="00D8792F" w:rsidRDefault="002B4D66" w:rsidP="002B4D66">
      <w:pPr>
        <w:pStyle w:val="Caption"/>
        <w:jc w:val="center"/>
        <w:rPr>
          <w:rFonts w:ascii="Times New Roman" w:eastAsia="Times New Roman" w:hAnsi="Times New Roman"/>
          <w:bCs/>
          <w:i w:val="0"/>
          <w:iCs w:val="0"/>
          <w:color w:val="auto"/>
          <w:sz w:val="22"/>
          <w:szCs w:val="22"/>
        </w:rPr>
      </w:pPr>
      <w:r w:rsidRPr="00D8792F">
        <w:rPr>
          <w:rFonts w:ascii="Times New Roman" w:eastAsia="Times New Roman" w:hAnsi="Times New Roman"/>
          <w:bCs/>
          <w:i w:val="0"/>
          <w:iCs w:val="0"/>
          <w:color w:val="auto"/>
          <w:sz w:val="22"/>
          <w:szCs w:val="22"/>
        </w:rPr>
        <w:t xml:space="preserve">Източници: </w:t>
      </w:r>
      <w:r w:rsidRPr="00D8792F">
        <w:rPr>
          <w:rFonts w:ascii="Times New Roman" w:eastAsia="Times New Roman" w:hAnsi="Times New Roman"/>
          <w:bCs/>
          <w:i w:val="0"/>
          <w:iCs w:val="0"/>
          <w:color w:val="auto"/>
          <w:sz w:val="22"/>
          <w:szCs w:val="22"/>
          <w:lang w:val="bg-BG"/>
        </w:rPr>
        <w:t>Собствени изчисления</w:t>
      </w:r>
    </w:p>
    <w:p w14:paraId="2E06C2F3" w14:textId="77777777" w:rsidR="002B1E55" w:rsidRPr="002B4D66" w:rsidRDefault="002B1E55" w:rsidP="002B1E55">
      <w:pPr>
        <w:spacing w:line="360" w:lineRule="auto"/>
        <w:jc w:val="both"/>
        <w:rPr>
          <w:rFonts w:ascii="Times New Roman" w:hAnsi="Times New Roman" w:cs="Times New Roman"/>
          <w:b/>
          <w:bCs/>
          <w:lang w:val="bg-BG"/>
        </w:rPr>
      </w:pPr>
      <w:r w:rsidRPr="002B4D66">
        <w:rPr>
          <w:rFonts w:ascii="Times New Roman" w:hAnsi="Times New Roman" w:cs="Times New Roman"/>
          <w:b/>
          <w:bCs/>
          <w:lang w:val="bg-BG"/>
        </w:rPr>
        <w:t>Изводи от Глава втора:</w:t>
      </w:r>
    </w:p>
    <w:p w14:paraId="141720AC" w14:textId="02885E5C" w:rsidR="002B1E55" w:rsidRDefault="002B1E55" w:rsidP="002B4D66">
      <w:pPr>
        <w:spacing w:line="360" w:lineRule="auto"/>
        <w:ind w:firstLine="720"/>
        <w:jc w:val="both"/>
        <w:rPr>
          <w:rFonts w:ascii="Times New Roman" w:hAnsi="Times New Roman" w:cs="Times New Roman"/>
          <w:lang w:val="bg-BG"/>
        </w:rPr>
      </w:pPr>
      <w:r w:rsidRPr="002B1E55">
        <w:rPr>
          <w:rFonts w:ascii="Times New Roman" w:hAnsi="Times New Roman" w:cs="Times New Roman"/>
          <w:lang w:val="bg-BG"/>
        </w:rPr>
        <w:t>Методологичният инструментариум, разработен във втора глава, представлява интегрирана рамка, която</w:t>
      </w:r>
      <w:r w:rsidR="002E1A46">
        <w:rPr>
          <w:rFonts w:ascii="Times New Roman" w:hAnsi="Times New Roman" w:cs="Times New Roman"/>
          <w:lang w:val="bg-BG"/>
        </w:rPr>
        <w:t xml:space="preserve"> </w:t>
      </w:r>
      <w:r w:rsidRPr="002B1E55">
        <w:rPr>
          <w:rFonts w:ascii="Times New Roman" w:hAnsi="Times New Roman" w:cs="Times New Roman"/>
          <w:lang w:val="bg-BG"/>
        </w:rPr>
        <w:t>съчетава макроикономически данни от FADN, първични емпирични данни от анкети и фокус групи и микроикономически казусни изследвания. Приложението на относителната сравнителна оценка, стохастичния модел и корелационния анализ осигурява възможност за едновременно измерване на икономическата и екологичната ефективност и за прогнозиране на ефектите от регулаторните изисквания на Зелената сделка върху структурата на българския аграрен сектор. Апробирането на устойчивите практики в трите казусни стопанства потвърждава тяхната приложимост и икономическа целесъобразност, което създава</w:t>
      </w:r>
      <w:r w:rsidR="00D91357">
        <w:rPr>
          <w:rFonts w:ascii="Times New Roman" w:hAnsi="Times New Roman" w:cs="Times New Roman"/>
          <w:lang w:val="bg-BG"/>
        </w:rPr>
        <w:t xml:space="preserve"> </w:t>
      </w:r>
      <w:r w:rsidRPr="002B1E55">
        <w:rPr>
          <w:rFonts w:ascii="Times New Roman" w:hAnsi="Times New Roman" w:cs="Times New Roman"/>
          <w:lang w:val="bg-BG"/>
        </w:rPr>
        <w:t>емпирична основа за формулиране на диференцирани препоръки в следващите глави на дисертационния труд.</w:t>
      </w:r>
    </w:p>
    <w:p w14:paraId="3ED5384C" w14:textId="77777777" w:rsidR="00561F60" w:rsidRPr="0037603C" w:rsidRDefault="00561F60" w:rsidP="0037603C">
      <w:pPr>
        <w:pStyle w:val="Heading2"/>
        <w:rPr>
          <w:rFonts w:ascii="Times New Roman" w:hAnsi="Times New Roman" w:cs="Times New Roman"/>
          <w:b/>
          <w:bCs/>
          <w:color w:val="auto"/>
          <w:sz w:val="24"/>
          <w:szCs w:val="24"/>
          <w:lang w:val="bg-BG"/>
        </w:rPr>
      </w:pPr>
      <w:bookmarkStart w:id="11" w:name="_Toc229092801"/>
      <w:r w:rsidRPr="0037603C">
        <w:rPr>
          <w:rFonts w:ascii="Times New Roman" w:hAnsi="Times New Roman" w:cs="Times New Roman"/>
          <w:b/>
          <w:bCs/>
          <w:color w:val="auto"/>
          <w:sz w:val="24"/>
          <w:szCs w:val="24"/>
          <w:lang w:val="bg-BG"/>
        </w:rPr>
        <w:t>ГЛАВА ТРЕТА: СЪСТОЯНИЕ И НАСОКИ ЗА ПОВИШАВАНЕ НА ИКОНОМИЧЕСКАТА И ЕКОЛОГИЧНАТА ЕФЕКТИВНОСТ НА БЪЛГАРСКИТЕ ЗЕМЕДЕЛСКИ СТОПАНСТВА</w:t>
      </w:r>
      <w:bookmarkEnd w:id="11"/>
    </w:p>
    <w:p w14:paraId="2AC96722" w14:textId="2BE6554B" w:rsidR="00561F60" w:rsidRPr="00561F60" w:rsidRDefault="00561F60" w:rsidP="00B9331D">
      <w:pPr>
        <w:spacing w:line="360" w:lineRule="auto"/>
        <w:ind w:firstLine="720"/>
        <w:jc w:val="both"/>
        <w:rPr>
          <w:rFonts w:ascii="Times New Roman" w:hAnsi="Times New Roman" w:cs="Times New Roman"/>
          <w:lang w:val="bg-BG"/>
        </w:rPr>
      </w:pPr>
      <w:r w:rsidRPr="00561F60">
        <w:rPr>
          <w:rFonts w:ascii="Times New Roman" w:hAnsi="Times New Roman" w:cs="Times New Roman"/>
          <w:lang w:val="bg-BG"/>
        </w:rPr>
        <w:t>В трета глава на дисертационния труд се представят емпиричните резултати от приложението на разработения методологичен инструментариум.</w:t>
      </w:r>
      <w:r w:rsidR="00D91357">
        <w:rPr>
          <w:rFonts w:ascii="Times New Roman" w:hAnsi="Times New Roman" w:cs="Times New Roman"/>
          <w:lang w:val="bg-BG"/>
        </w:rPr>
        <w:t xml:space="preserve"> В п</w:t>
      </w:r>
      <w:r w:rsidRPr="00561F60">
        <w:rPr>
          <w:rFonts w:ascii="Times New Roman" w:hAnsi="Times New Roman" w:cs="Times New Roman"/>
          <w:lang w:val="bg-BG"/>
        </w:rPr>
        <w:t xml:space="preserve">ървата част на главата </w:t>
      </w:r>
      <w:r w:rsidR="00D91357">
        <w:rPr>
          <w:rFonts w:ascii="Times New Roman" w:hAnsi="Times New Roman" w:cs="Times New Roman"/>
          <w:lang w:val="bg-BG"/>
        </w:rPr>
        <w:lastRenderedPageBreak/>
        <w:t>са</w:t>
      </w:r>
      <w:r w:rsidRPr="00561F60">
        <w:rPr>
          <w:rFonts w:ascii="Times New Roman" w:hAnsi="Times New Roman" w:cs="Times New Roman"/>
          <w:lang w:val="bg-BG"/>
        </w:rPr>
        <w:t xml:space="preserve"> </w:t>
      </w:r>
      <w:r w:rsidR="00D91357">
        <w:rPr>
          <w:rFonts w:ascii="Times New Roman" w:hAnsi="Times New Roman" w:cs="Times New Roman"/>
          <w:lang w:val="bg-BG"/>
        </w:rPr>
        <w:t>представени</w:t>
      </w:r>
      <w:r w:rsidRPr="00561F60">
        <w:rPr>
          <w:rFonts w:ascii="Times New Roman" w:hAnsi="Times New Roman" w:cs="Times New Roman"/>
          <w:lang w:val="bg-BG"/>
        </w:rPr>
        <w:t xml:space="preserve"> резултатите от приложението на </w:t>
      </w:r>
      <w:r w:rsidR="00D91357">
        <w:rPr>
          <w:rFonts w:ascii="Times New Roman" w:hAnsi="Times New Roman" w:cs="Times New Roman"/>
          <w:lang w:val="bg-BG"/>
        </w:rPr>
        <w:t>ОСО</w:t>
      </w:r>
      <w:r w:rsidRPr="00561F60">
        <w:rPr>
          <w:rFonts w:ascii="Times New Roman" w:hAnsi="Times New Roman" w:cs="Times New Roman"/>
          <w:lang w:val="bg-BG"/>
        </w:rPr>
        <w:t>. Анализът показва, че икономическата ефективност на българските земеделски стопанства се характеризира със значителна хетерогенност, която се о</w:t>
      </w:r>
      <w:r w:rsidR="00D91357">
        <w:rPr>
          <w:rFonts w:ascii="Times New Roman" w:hAnsi="Times New Roman" w:cs="Times New Roman"/>
          <w:lang w:val="bg-BG"/>
        </w:rPr>
        <w:t xml:space="preserve">буславя </w:t>
      </w:r>
      <w:r w:rsidRPr="00561F60">
        <w:rPr>
          <w:rFonts w:ascii="Times New Roman" w:hAnsi="Times New Roman" w:cs="Times New Roman"/>
          <w:lang w:val="bg-BG"/>
        </w:rPr>
        <w:t>от производствената специализация</w:t>
      </w:r>
      <w:r w:rsidR="00D91357">
        <w:rPr>
          <w:rFonts w:ascii="Times New Roman" w:hAnsi="Times New Roman" w:cs="Times New Roman"/>
          <w:lang w:val="bg-BG"/>
        </w:rPr>
        <w:t xml:space="preserve">. </w:t>
      </w:r>
      <w:r w:rsidRPr="00561F60">
        <w:rPr>
          <w:rFonts w:ascii="Times New Roman" w:hAnsi="Times New Roman" w:cs="Times New Roman"/>
          <w:lang w:val="bg-BG"/>
        </w:rPr>
        <w:t>Това разкрива структурни проблеми в сектора, свързани с фрагментацията на земеползването, ограничения достъп до капитал и технологии, както и с неравномерното разпределение на инвестициите в модернизация.</w:t>
      </w:r>
      <w:r w:rsidR="00B9331D">
        <w:rPr>
          <w:rFonts w:ascii="Times New Roman" w:hAnsi="Times New Roman" w:cs="Times New Roman"/>
          <w:lang w:val="bg-BG"/>
        </w:rPr>
        <w:t xml:space="preserve"> </w:t>
      </w:r>
      <w:r w:rsidRPr="00561F60">
        <w:rPr>
          <w:rFonts w:ascii="Times New Roman" w:hAnsi="Times New Roman" w:cs="Times New Roman"/>
          <w:lang w:val="bg-BG"/>
        </w:rPr>
        <w:t>Икономическата ефективност на производствените разходи показва най-високи стойности при стопанствата, специализирани в полски култури и смесено земеделие, докато животновъдните стопанства изпитват по-голям натиск върху разходната структура поради по-високите цени на фуражите и енергията. Динамиката на този показател за периода 2007–2023 г. разкрива, че кризата от 2008–2009 г. и последвалите години на нестабилност на пазарите на суровини са оказали трайно въздействие върху ефективността на по-малките стопанства. По-големите стопанства успяват по-бързо да се адаптират към промените. Тази тенденция се потвърждава и от графиката по-долу, която илюстрира динамиката на икономическата ефективност на производствените разходи:</w:t>
      </w:r>
    </w:p>
    <w:p w14:paraId="08930C00" w14:textId="77777777" w:rsidR="00B9331D" w:rsidRPr="007C1835" w:rsidRDefault="00B9331D" w:rsidP="00B9331D">
      <w:pPr>
        <w:keepNext/>
        <w:keepLines/>
        <w:spacing w:before="40" w:after="0"/>
        <w:jc w:val="center"/>
        <w:outlineLvl w:val="5"/>
        <w:rPr>
          <w:rFonts w:ascii="Times New Roman" w:eastAsia="Times New Roman" w:hAnsi="Times New Roman"/>
          <w:color w:val="000000"/>
          <w:lang w:val="bg-BG"/>
        </w:rPr>
      </w:pPr>
      <w:bookmarkStart w:id="12" w:name="_Toc228918997"/>
      <w:r w:rsidRPr="007C1835">
        <w:rPr>
          <w:rFonts w:ascii="Times New Roman" w:eastAsia="Times New Roman" w:hAnsi="Times New Roman"/>
          <w:color w:val="000000"/>
          <w:lang w:val="bg-BG"/>
        </w:rPr>
        <w:t xml:space="preserve">Фигура </w:t>
      </w:r>
      <w:r w:rsidRPr="007C1835">
        <w:rPr>
          <w:rFonts w:ascii="Times New Roman" w:eastAsia="Times New Roman" w:hAnsi="Times New Roman"/>
          <w:color w:val="000000"/>
          <w:lang w:val="bg-BG"/>
        </w:rPr>
        <w:fldChar w:fldCharType="begin"/>
      </w:r>
      <w:r w:rsidRPr="007C1835">
        <w:rPr>
          <w:rFonts w:ascii="Times New Roman" w:eastAsia="Times New Roman" w:hAnsi="Times New Roman"/>
          <w:color w:val="000000"/>
          <w:lang w:val="bg-BG"/>
        </w:rPr>
        <w:instrText xml:space="preserve"> SEQ Фигура \* ARABIC </w:instrText>
      </w:r>
      <w:r w:rsidRPr="007C1835">
        <w:rPr>
          <w:rFonts w:ascii="Times New Roman" w:eastAsia="Times New Roman" w:hAnsi="Times New Roman"/>
          <w:color w:val="000000"/>
          <w:lang w:val="bg-BG"/>
        </w:rPr>
        <w:fldChar w:fldCharType="separate"/>
      </w:r>
      <w:r>
        <w:rPr>
          <w:rFonts w:ascii="Times New Roman" w:eastAsia="Times New Roman" w:hAnsi="Times New Roman"/>
          <w:noProof/>
          <w:color w:val="000000"/>
          <w:lang w:val="bg-BG"/>
        </w:rPr>
        <w:t>7</w:t>
      </w:r>
      <w:r w:rsidRPr="007C1835">
        <w:rPr>
          <w:rFonts w:ascii="Times New Roman" w:eastAsia="Times New Roman" w:hAnsi="Times New Roman"/>
          <w:color w:val="000000"/>
          <w:lang w:val="bg-BG"/>
        </w:rPr>
        <w:fldChar w:fldCharType="end"/>
      </w:r>
      <w:r w:rsidRPr="007C1835">
        <w:rPr>
          <w:rFonts w:ascii="Times New Roman" w:eastAsia="Times New Roman" w:hAnsi="Times New Roman"/>
          <w:color w:val="000000"/>
          <w:lang w:val="bg-BG"/>
        </w:rPr>
        <w:t xml:space="preserve"> Икономическа ефективност на производствените разходи</w:t>
      </w:r>
      <w:bookmarkEnd w:id="12"/>
    </w:p>
    <w:p w14:paraId="0C401912" w14:textId="77777777" w:rsidR="00B9331D" w:rsidRPr="00EE6F4E" w:rsidRDefault="00B9331D" w:rsidP="00B9331D">
      <w:pPr>
        <w:spacing w:line="360" w:lineRule="auto"/>
        <w:jc w:val="center"/>
        <w:rPr>
          <w:rFonts w:ascii="Times New Roman" w:eastAsia="Times New Roman" w:hAnsi="Times New Roman"/>
          <w:bCs/>
          <w:lang w:val="bg-BG"/>
        </w:rPr>
      </w:pPr>
      <w:r w:rsidRPr="00EE6F4E">
        <w:rPr>
          <w:rFonts w:ascii="Times New Roman" w:hAnsi="Times New Roman"/>
          <w:noProof/>
        </w:rPr>
        <w:drawing>
          <wp:inline distT="0" distB="0" distL="0" distR="0" wp14:anchorId="50C8B7AB" wp14:editId="3F3AF2F0">
            <wp:extent cx="4874260" cy="2449195"/>
            <wp:effectExtent l="0" t="0" r="0" b="0"/>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20E7C71" w14:textId="77777777" w:rsidR="00B9331D" w:rsidRPr="00EE6F4E" w:rsidRDefault="00B9331D" w:rsidP="00B9331D">
      <w:pPr>
        <w:spacing w:line="360" w:lineRule="auto"/>
        <w:jc w:val="center"/>
        <w:rPr>
          <w:rFonts w:ascii="Times New Roman" w:eastAsia="Times New Roman" w:hAnsi="Times New Roman"/>
          <w:bCs/>
          <w:lang w:val="bg-BG"/>
        </w:rPr>
      </w:pPr>
      <w:r w:rsidRPr="00EE6F4E">
        <w:rPr>
          <w:rFonts w:ascii="Times New Roman" w:eastAsia="Times New Roman" w:hAnsi="Times New Roman"/>
          <w:bCs/>
          <w:lang w:val="bg-BG"/>
        </w:rPr>
        <w:t>Източник: собствена схема</w:t>
      </w:r>
    </w:p>
    <w:p w14:paraId="03547677" w14:textId="77777777" w:rsidR="00B9331D" w:rsidRDefault="00B9331D" w:rsidP="00B9331D">
      <w:pPr>
        <w:spacing w:line="360" w:lineRule="auto"/>
        <w:ind w:firstLine="720"/>
        <w:jc w:val="both"/>
        <w:rPr>
          <w:rFonts w:ascii="Times New Roman" w:eastAsia="Times New Roman" w:hAnsi="Times New Roman"/>
          <w:bCs/>
          <w:lang w:val="bg-BG"/>
        </w:rPr>
      </w:pPr>
      <w:bookmarkStart w:id="13" w:name="_Toc228918998"/>
      <w:r w:rsidRPr="001B6682">
        <w:rPr>
          <w:rFonts w:ascii="Times New Roman" w:eastAsia="Times New Roman" w:hAnsi="Times New Roman"/>
          <w:bCs/>
          <w:lang w:val="bg-BG"/>
        </w:rPr>
        <w:t xml:space="preserve">Оценката на икономическата ефективност на труда представлява ключов елемент от анализа на производствената и ресурсната ефективност на земеделските стопанства, тъй като човешкият труд остава основен фактор, чрез който се материализират технологичните, организационните и управленските решения. Данните за периода 2007–2017 г. (фигура 5) ясно показват устойчива тенденция на повишаване на ефективността, която отразява </w:t>
      </w:r>
      <w:r w:rsidRPr="001B6682">
        <w:rPr>
          <w:rFonts w:ascii="Times New Roman" w:eastAsia="Times New Roman" w:hAnsi="Times New Roman"/>
          <w:bCs/>
          <w:lang w:val="bg-BG"/>
        </w:rPr>
        <w:lastRenderedPageBreak/>
        <w:t>постепенното преминаване на българското земеделие от трудоемки към капитало- и технология-интензивни модели на производство.</w:t>
      </w:r>
    </w:p>
    <w:p w14:paraId="0B3E6B5B" w14:textId="77777777" w:rsidR="00B9331D" w:rsidRPr="007C1835" w:rsidRDefault="00B9331D" w:rsidP="00B9331D">
      <w:pPr>
        <w:keepNext/>
        <w:keepLines/>
        <w:spacing w:before="40" w:after="0"/>
        <w:jc w:val="center"/>
        <w:outlineLvl w:val="5"/>
        <w:rPr>
          <w:rFonts w:ascii="Times New Roman" w:eastAsia="Times New Roman" w:hAnsi="Times New Roman"/>
          <w:color w:val="000000"/>
          <w:lang w:val="bg-BG"/>
        </w:rPr>
      </w:pPr>
      <w:r w:rsidRPr="007C1835">
        <w:rPr>
          <w:rFonts w:ascii="Times New Roman" w:eastAsia="Times New Roman" w:hAnsi="Times New Roman"/>
          <w:color w:val="000000"/>
          <w:lang w:val="bg-BG"/>
        </w:rPr>
        <w:t xml:space="preserve">Фигура </w:t>
      </w:r>
      <w:r w:rsidRPr="007C1835">
        <w:rPr>
          <w:rFonts w:ascii="Times New Roman" w:eastAsia="Times New Roman" w:hAnsi="Times New Roman"/>
          <w:color w:val="000000"/>
          <w:lang w:val="bg-BG"/>
        </w:rPr>
        <w:fldChar w:fldCharType="begin"/>
      </w:r>
      <w:r w:rsidRPr="007C1835">
        <w:rPr>
          <w:rFonts w:ascii="Times New Roman" w:eastAsia="Times New Roman" w:hAnsi="Times New Roman"/>
          <w:color w:val="000000"/>
          <w:lang w:val="bg-BG"/>
        </w:rPr>
        <w:instrText xml:space="preserve"> SEQ Фигура \* ARABIC </w:instrText>
      </w:r>
      <w:r w:rsidRPr="007C1835">
        <w:rPr>
          <w:rFonts w:ascii="Times New Roman" w:eastAsia="Times New Roman" w:hAnsi="Times New Roman"/>
          <w:color w:val="000000"/>
          <w:lang w:val="bg-BG"/>
        </w:rPr>
        <w:fldChar w:fldCharType="separate"/>
      </w:r>
      <w:r>
        <w:rPr>
          <w:rFonts w:ascii="Times New Roman" w:eastAsia="Times New Roman" w:hAnsi="Times New Roman"/>
          <w:noProof/>
          <w:color w:val="000000"/>
          <w:lang w:val="bg-BG"/>
        </w:rPr>
        <w:t>8</w:t>
      </w:r>
      <w:r w:rsidRPr="007C1835">
        <w:rPr>
          <w:rFonts w:ascii="Times New Roman" w:eastAsia="Times New Roman" w:hAnsi="Times New Roman"/>
          <w:color w:val="000000"/>
          <w:lang w:val="bg-BG"/>
        </w:rPr>
        <w:fldChar w:fldCharType="end"/>
      </w:r>
      <w:r w:rsidRPr="007C1835">
        <w:rPr>
          <w:rFonts w:ascii="Times New Roman" w:eastAsia="Times New Roman" w:hAnsi="Times New Roman"/>
          <w:color w:val="000000"/>
          <w:lang w:val="bg-BG"/>
        </w:rPr>
        <w:t xml:space="preserve"> Икономическа ефективност на труда</w:t>
      </w:r>
      <w:bookmarkEnd w:id="13"/>
    </w:p>
    <w:p w14:paraId="74A9408C" w14:textId="77777777" w:rsidR="00B9331D" w:rsidRPr="00EE6F4E" w:rsidRDefault="00B9331D" w:rsidP="00B9331D">
      <w:pPr>
        <w:spacing w:line="360" w:lineRule="auto"/>
        <w:ind w:firstLine="720"/>
        <w:jc w:val="center"/>
        <w:rPr>
          <w:rFonts w:ascii="Times New Roman" w:eastAsia="Times New Roman" w:hAnsi="Times New Roman"/>
          <w:bCs/>
          <w:lang w:val="bg-BG"/>
        </w:rPr>
      </w:pPr>
      <w:r w:rsidRPr="00EE6F4E">
        <w:rPr>
          <w:rFonts w:ascii="Times New Roman" w:hAnsi="Times New Roman"/>
          <w:noProof/>
        </w:rPr>
        <w:drawing>
          <wp:inline distT="0" distB="0" distL="0" distR="0" wp14:anchorId="4BDB8871" wp14:editId="400E3CF4">
            <wp:extent cx="4953635" cy="2663825"/>
            <wp:effectExtent l="0" t="0" r="0" b="0"/>
            <wp:docPr id="9"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9F72291" w14:textId="32FFD294" w:rsidR="00B9331D" w:rsidRPr="00B9331D" w:rsidRDefault="00B9331D" w:rsidP="00B9331D">
      <w:pPr>
        <w:spacing w:line="360" w:lineRule="auto"/>
        <w:ind w:firstLine="720"/>
        <w:jc w:val="center"/>
        <w:rPr>
          <w:rFonts w:ascii="Times New Roman" w:eastAsia="Times New Roman" w:hAnsi="Times New Roman"/>
          <w:bCs/>
          <w:lang w:val="bg-BG"/>
        </w:rPr>
      </w:pPr>
      <w:r w:rsidRPr="00EE6F4E">
        <w:rPr>
          <w:rFonts w:ascii="Times New Roman" w:eastAsia="Times New Roman" w:hAnsi="Times New Roman"/>
          <w:bCs/>
          <w:lang w:val="bg-BG"/>
        </w:rPr>
        <w:t>Източник: Собствена схема</w:t>
      </w:r>
    </w:p>
    <w:p w14:paraId="53ABAC67" w14:textId="77777777" w:rsidR="00A67A46" w:rsidRDefault="00561F60" w:rsidP="00A67A46">
      <w:pPr>
        <w:spacing w:line="360" w:lineRule="auto"/>
        <w:ind w:firstLine="720"/>
        <w:jc w:val="both"/>
        <w:rPr>
          <w:rFonts w:ascii="Times New Roman" w:hAnsi="Times New Roman" w:cs="Times New Roman"/>
          <w:lang w:val="bg-BG"/>
        </w:rPr>
      </w:pPr>
      <w:r w:rsidRPr="00561F60">
        <w:rPr>
          <w:rFonts w:ascii="Times New Roman" w:hAnsi="Times New Roman" w:cs="Times New Roman"/>
          <w:lang w:val="bg-BG"/>
        </w:rPr>
        <w:t xml:space="preserve">В същото време малките семейни стопанства продължават да разчитат предимно на собствен труд, което ограничава възможностите за растеж и инвестиции. Ефективността на капитала и земеползването също показва ясно изразени различия. </w:t>
      </w:r>
      <w:r w:rsidR="00B9331D">
        <w:rPr>
          <w:rFonts w:ascii="Times New Roman" w:hAnsi="Times New Roman" w:cs="Times New Roman"/>
          <w:lang w:val="bg-BG"/>
        </w:rPr>
        <w:t xml:space="preserve"> </w:t>
      </w:r>
      <w:r w:rsidRPr="00561F60">
        <w:rPr>
          <w:rFonts w:ascii="Times New Roman" w:hAnsi="Times New Roman" w:cs="Times New Roman"/>
          <w:lang w:val="bg-BG"/>
        </w:rPr>
        <w:t>Стопанствата с по-висок дял на собствена земя и по-добър достъп до инвестиционни кредити постигат значително по-висока възвръщаемост. Това потвърждава първата изследователска хипотеза, че икономическата ефективност на земеделските стопанства в България се различава съществено в зависимост от тяхната типология и икономически размер.</w:t>
      </w:r>
    </w:p>
    <w:p w14:paraId="2AE4101B" w14:textId="77777777" w:rsidR="008B4C94" w:rsidRDefault="00561F60" w:rsidP="00A67A46">
      <w:pPr>
        <w:spacing w:line="360" w:lineRule="auto"/>
        <w:ind w:firstLine="720"/>
        <w:jc w:val="both"/>
        <w:rPr>
          <w:rFonts w:ascii="Times New Roman" w:hAnsi="Times New Roman" w:cs="Times New Roman"/>
          <w:lang w:val="bg-BG"/>
        </w:rPr>
      </w:pPr>
      <w:r w:rsidRPr="00561F60">
        <w:rPr>
          <w:rFonts w:ascii="Times New Roman" w:hAnsi="Times New Roman" w:cs="Times New Roman"/>
          <w:lang w:val="bg-BG"/>
        </w:rPr>
        <w:t xml:space="preserve">Особено показателен е анализът на икономическата и екологичната ефективност според производствената специализация. Резултатите разкриват, че стопанствата, специализирани в полски култури (TF1), постигат най-висока икономическа ефективност в краткосрочен план, но в същото време имат най-ниска екологична ефективност поради интензивното използване на минерални торове и пестициди. </w:t>
      </w:r>
    </w:p>
    <w:p w14:paraId="6AC66569" w14:textId="77777777" w:rsidR="008B4C94" w:rsidRDefault="008B4C94" w:rsidP="00A67A46">
      <w:pPr>
        <w:spacing w:line="360" w:lineRule="auto"/>
        <w:ind w:firstLine="720"/>
        <w:jc w:val="both"/>
        <w:rPr>
          <w:rFonts w:ascii="Times New Roman" w:hAnsi="Times New Roman" w:cs="Times New Roman"/>
          <w:lang w:val="bg-BG"/>
        </w:rPr>
      </w:pPr>
    </w:p>
    <w:p w14:paraId="15232B30" w14:textId="77777777" w:rsidR="008B4C94" w:rsidRPr="00333346" w:rsidRDefault="008B4C94" w:rsidP="008B4C94">
      <w:pPr>
        <w:spacing w:line="360" w:lineRule="auto"/>
        <w:ind w:firstLine="720"/>
        <w:jc w:val="center"/>
        <w:rPr>
          <w:rFonts w:ascii="Times New Roman" w:eastAsia="Times New Roman" w:hAnsi="Times New Roman"/>
          <w:bCs/>
          <w:lang w:val="bg-BG"/>
        </w:rPr>
      </w:pPr>
      <w:bookmarkStart w:id="14" w:name="_Toc228919031"/>
      <w:r w:rsidRPr="00333346">
        <w:rPr>
          <w:rFonts w:ascii="Times New Roman" w:eastAsia="Times New Roman" w:hAnsi="Times New Roman"/>
          <w:bCs/>
          <w:lang w:val="bg-BG"/>
        </w:rPr>
        <w:t xml:space="preserve">Таблица </w:t>
      </w:r>
      <w:r w:rsidRPr="00333346">
        <w:rPr>
          <w:rFonts w:ascii="Times New Roman" w:eastAsia="Times New Roman" w:hAnsi="Times New Roman"/>
          <w:bCs/>
          <w:lang w:val="bg-BG"/>
        </w:rPr>
        <w:fldChar w:fldCharType="begin"/>
      </w:r>
      <w:r w:rsidRPr="00333346">
        <w:rPr>
          <w:rFonts w:ascii="Times New Roman" w:eastAsia="Times New Roman" w:hAnsi="Times New Roman"/>
          <w:bCs/>
          <w:lang w:val="bg-BG"/>
        </w:rPr>
        <w:instrText xml:space="preserve"> SEQ Таблица \* ARABIC </w:instrText>
      </w:r>
      <w:r w:rsidRPr="00333346">
        <w:rPr>
          <w:rFonts w:ascii="Times New Roman" w:eastAsia="Times New Roman" w:hAnsi="Times New Roman"/>
          <w:bCs/>
          <w:lang w:val="bg-BG"/>
        </w:rPr>
        <w:fldChar w:fldCharType="separate"/>
      </w:r>
      <w:r>
        <w:rPr>
          <w:rFonts w:ascii="Times New Roman" w:eastAsia="Times New Roman" w:hAnsi="Times New Roman"/>
          <w:bCs/>
          <w:noProof/>
          <w:lang w:val="bg-BG"/>
        </w:rPr>
        <w:t>22</w:t>
      </w:r>
      <w:r w:rsidRPr="00333346">
        <w:rPr>
          <w:rFonts w:ascii="Times New Roman" w:eastAsia="Times New Roman" w:hAnsi="Times New Roman"/>
          <w:bCs/>
          <w:lang w:val="bg-BG"/>
        </w:rPr>
        <w:fldChar w:fldCharType="end"/>
      </w:r>
      <w:r w:rsidRPr="00333346">
        <w:rPr>
          <w:rFonts w:ascii="Times New Roman" w:eastAsia="Times New Roman" w:hAnsi="Times New Roman"/>
          <w:bCs/>
          <w:lang w:val="bg-BG"/>
        </w:rPr>
        <w:t xml:space="preserve"> </w:t>
      </w:r>
      <w:r w:rsidRPr="00622655">
        <w:rPr>
          <w:rFonts w:ascii="Times New Roman" w:eastAsia="Times New Roman" w:hAnsi="Times New Roman"/>
          <w:bCs/>
          <w:lang w:val="bg-BG"/>
        </w:rPr>
        <w:t>Стойности на показателите за икономическа ефективност на земеделските стопанства според производствената специализация (2007–2023 г.)</w:t>
      </w:r>
      <w:bookmarkEnd w:id="14"/>
    </w:p>
    <w:tbl>
      <w:tblPr>
        <w:tblW w:w="9960" w:type="dxa"/>
        <w:jc w:val="center"/>
        <w:tblLook w:val="04A0" w:firstRow="1" w:lastRow="0" w:firstColumn="1" w:lastColumn="0" w:noHBand="0" w:noVBand="1"/>
      </w:tblPr>
      <w:tblGrid>
        <w:gridCol w:w="1220"/>
        <w:gridCol w:w="1960"/>
        <w:gridCol w:w="2440"/>
        <w:gridCol w:w="2140"/>
        <w:gridCol w:w="2200"/>
      </w:tblGrid>
      <w:tr w:rsidR="008B4C94" w:rsidRPr="00EE6F4E" w14:paraId="365180BC" w14:textId="77777777" w:rsidTr="00BA1CD0">
        <w:trPr>
          <w:trHeight w:val="510"/>
          <w:jc w:val="center"/>
        </w:trPr>
        <w:tc>
          <w:tcPr>
            <w:tcW w:w="1220" w:type="dxa"/>
            <w:tcBorders>
              <w:top w:val="single" w:sz="4" w:space="0" w:color="auto"/>
              <w:left w:val="single" w:sz="4" w:space="0" w:color="auto"/>
              <w:bottom w:val="single" w:sz="4" w:space="0" w:color="auto"/>
              <w:right w:val="single" w:sz="4" w:space="0" w:color="auto"/>
            </w:tcBorders>
            <w:vAlign w:val="center"/>
            <w:hideMark/>
          </w:tcPr>
          <w:p w14:paraId="013C8411"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lastRenderedPageBreak/>
              <w:t>Година</w:t>
            </w:r>
          </w:p>
        </w:tc>
        <w:tc>
          <w:tcPr>
            <w:tcW w:w="1960" w:type="dxa"/>
            <w:tcBorders>
              <w:top w:val="single" w:sz="4" w:space="0" w:color="auto"/>
              <w:left w:val="nil"/>
              <w:bottom w:val="single" w:sz="4" w:space="0" w:color="auto"/>
              <w:right w:val="single" w:sz="4" w:space="0" w:color="auto"/>
            </w:tcBorders>
            <w:vAlign w:val="center"/>
            <w:hideMark/>
          </w:tcPr>
          <w:p w14:paraId="09A3396D"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Полски култури</w:t>
            </w:r>
          </w:p>
        </w:tc>
        <w:tc>
          <w:tcPr>
            <w:tcW w:w="2440" w:type="dxa"/>
            <w:tcBorders>
              <w:top w:val="single" w:sz="4" w:space="0" w:color="auto"/>
              <w:left w:val="nil"/>
              <w:bottom w:val="single" w:sz="4" w:space="0" w:color="auto"/>
              <w:right w:val="single" w:sz="4" w:space="0" w:color="auto"/>
            </w:tcBorders>
            <w:vAlign w:val="center"/>
            <w:hideMark/>
          </w:tcPr>
          <w:p w14:paraId="55DEB562"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Градинарство</w:t>
            </w:r>
          </w:p>
        </w:tc>
        <w:tc>
          <w:tcPr>
            <w:tcW w:w="2140" w:type="dxa"/>
            <w:tcBorders>
              <w:top w:val="single" w:sz="4" w:space="0" w:color="auto"/>
              <w:left w:val="nil"/>
              <w:bottom w:val="single" w:sz="4" w:space="0" w:color="auto"/>
              <w:right w:val="single" w:sz="4" w:space="0" w:color="auto"/>
            </w:tcBorders>
            <w:vAlign w:val="center"/>
            <w:hideMark/>
          </w:tcPr>
          <w:p w14:paraId="5BE14B13" w14:textId="77777777" w:rsidR="008B4C94" w:rsidRPr="00F03796" w:rsidRDefault="008B4C94" w:rsidP="00BA1CD0">
            <w:pPr>
              <w:spacing w:after="0" w:line="240" w:lineRule="auto"/>
              <w:jc w:val="center"/>
              <w:rPr>
                <w:rFonts w:ascii="Times New Roman" w:eastAsia="Times New Roman" w:hAnsi="Times New Roman" w:cs="Times New Roman"/>
                <w:b/>
                <w:bCs/>
                <w:color w:val="000000"/>
                <w:lang w:val="bg-BG"/>
              </w:rPr>
            </w:pPr>
            <w:r>
              <w:rPr>
                <w:rFonts w:ascii="Times New Roman" w:eastAsia="Times New Roman" w:hAnsi="Times New Roman" w:cs="Times New Roman"/>
                <w:b/>
                <w:bCs/>
                <w:color w:val="000000"/>
              </w:rPr>
              <w:t>Лозарство</w:t>
            </w:r>
          </w:p>
        </w:tc>
        <w:tc>
          <w:tcPr>
            <w:tcW w:w="2200" w:type="dxa"/>
            <w:tcBorders>
              <w:top w:val="single" w:sz="4" w:space="0" w:color="auto"/>
              <w:left w:val="nil"/>
              <w:bottom w:val="single" w:sz="4" w:space="0" w:color="auto"/>
              <w:right w:val="single" w:sz="4" w:space="0" w:color="auto"/>
            </w:tcBorders>
            <w:vAlign w:val="center"/>
            <w:hideMark/>
          </w:tcPr>
          <w:p w14:paraId="6D0A1195"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Други трайни насаждения</w:t>
            </w:r>
          </w:p>
        </w:tc>
      </w:tr>
      <w:tr w:rsidR="008B4C94" w:rsidRPr="00EE6F4E" w14:paraId="16655B5E"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6FC46CA8"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2007</w:t>
            </w:r>
          </w:p>
        </w:tc>
        <w:tc>
          <w:tcPr>
            <w:tcW w:w="1960" w:type="dxa"/>
            <w:tcBorders>
              <w:top w:val="single" w:sz="4" w:space="0" w:color="auto"/>
              <w:left w:val="single" w:sz="4" w:space="0" w:color="auto"/>
              <w:bottom w:val="single" w:sz="4" w:space="0" w:color="auto"/>
              <w:right w:val="single" w:sz="4" w:space="0" w:color="auto"/>
            </w:tcBorders>
            <w:shd w:val="clear" w:color="000000" w:fill="F8E984"/>
            <w:noWrap/>
            <w:vAlign w:val="center"/>
            <w:hideMark/>
          </w:tcPr>
          <w:p w14:paraId="5D896A5B"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0.32</w:t>
            </w:r>
          </w:p>
        </w:tc>
        <w:tc>
          <w:tcPr>
            <w:tcW w:w="2440" w:type="dxa"/>
            <w:tcBorders>
              <w:top w:val="single" w:sz="4" w:space="0" w:color="auto"/>
              <w:left w:val="single" w:sz="4" w:space="0" w:color="auto"/>
              <w:bottom w:val="single" w:sz="4" w:space="0" w:color="auto"/>
              <w:right w:val="single" w:sz="4" w:space="0" w:color="auto"/>
            </w:tcBorders>
            <w:shd w:val="clear" w:color="000000" w:fill="DDE283"/>
            <w:noWrap/>
            <w:vAlign w:val="center"/>
            <w:hideMark/>
          </w:tcPr>
          <w:p w14:paraId="7BC212AD"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0.41</w:t>
            </w:r>
          </w:p>
        </w:tc>
        <w:tc>
          <w:tcPr>
            <w:tcW w:w="2140" w:type="dxa"/>
            <w:tcBorders>
              <w:top w:val="single" w:sz="4" w:space="0" w:color="auto"/>
              <w:left w:val="single" w:sz="4" w:space="0" w:color="auto"/>
              <w:bottom w:val="single" w:sz="4" w:space="0" w:color="auto"/>
              <w:right w:val="single" w:sz="4" w:space="0" w:color="auto"/>
            </w:tcBorders>
            <w:shd w:val="clear" w:color="000000" w:fill="FDC97D"/>
            <w:noWrap/>
            <w:vAlign w:val="center"/>
            <w:hideMark/>
          </w:tcPr>
          <w:p w14:paraId="5F536D15"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0.22</w:t>
            </w:r>
          </w:p>
        </w:tc>
        <w:tc>
          <w:tcPr>
            <w:tcW w:w="2200" w:type="dxa"/>
            <w:tcBorders>
              <w:top w:val="single" w:sz="4" w:space="0" w:color="auto"/>
              <w:left w:val="single" w:sz="4" w:space="0" w:color="auto"/>
              <w:bottom w:val="single" w:sz="4" w:space="0" w:color="auto"/>
              <w:right w:val="single" w:sz="4" w:space="0" w:color="auto"/>
            </w:tcBorders>
            <w:shd w:val="clear" w:color="000000" w:fill="FEEB84"/>
            <w:noWrap/>
            <w:vAlign w:val="center"/>
            <w:hideMark/>
          </w:tcPr>
          <w:p w14:paraId="1E8CB0BF"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0.30</w:t>
            </w:r>
          </w:p>
        </w:tc>
      </w:tr>
      <w:tr w:rsidR="008B4C94" w:rsidRPr="00EE6F4E" w14:paraId="325C9256"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496EDFAB"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2008</w:t>
            </w:r>
          </w:p>
        </w:tc>
        <w:tc>
          <w:tcPr>
            <w:tcW w:w="1960" w:type="dxa"/>
            <w:tcBorders>
              <w:top w:val="single" w:sz="4" w:space="0" w:color="auto"/>
              <w:left w:val="single" w:sz="4" w:space="0" w:color="auto"/>
              <w:bottom w:val="single" w:sz="4" w:space="0" w:color="auto"/>
              <w:right w:val="single" w:sz="4" w:space="0" w:color="auto"/>
            </w:tcBorders>
            <w:shd w:val="clear" w:color="000000" w:fill="FEE082"/>
            <w:noWrap/>
            <w:vAlign w:val="center"/>
            <w:hideMark/>
          </w:tcPr>
          <w:p w14:paraId="3D8777A4"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0.27</w:t>
            </w:r>
          </w:p>
        </w:tc>
        <w:tc>
          <w:tcPr>
            <w:tcW w:w="2440" w:type="dxa"/>
            <w:tcBorders>
              <w:top w:val="single" w:sz="4" w:space="0" w:color="auto"/>
              <w:left w:val="single" w:sz="4" w:space="0" w:color="auto"/>
              <w:bottom w:val="single" w:sz="4" w:space="0" w:color="auto"/>
              <w:right w:val="single" w:sz="4" w:space="0" w:color="auto"/>
            </w:tcBorders>
            <w:shd w:val="clear" w:color="000000" w:fill="E3E383"/>
            <w:noWrap/>
            <w:vAlign w:val="center"/>
            <w:hideMark/>
          </w:tcPr>
          <w:p w14:paraId="1105A439"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0.39</w:t>
            </w:r>
          </w:p>
        </w:tc>
        <w:tc>
          <w:tcPr>
            <w:tcW w:w="2140" w:type="dxa"/>
            <w:tcBorders>
              <w:top w:val="single" w:sz="4" w:space="0" w:color="auto"/>
              <w:left w:val="single" w:sz="4" w:space="0" w:color="auto"/>
              <w:bottom w:val="single" w:sz="4" w:space="0" w:color="auto"/>
              <w:right w:val="single" w:sz="4" w:space="0" w:color="auto"/>
            </w:tcBorders>
            <w:shd w:val="clear" w:color="000000" w:fill="FEDF81"/>
            <w:noWrap/>
            <w:vAlign w:val="center"/>
            <w:hideMark/>
          </w:tcPr>
          <w:p w14:paraId="2079E9CA"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0.27</w:t>
            </w:r>
          </w:p>
        </w:tc>
        <w:tc>
          <w:tcPr>
            <w:tcW w:w="2200" w:type="dxa"/>
            <w:tcBorders>
              <w:top w:val="single" w:sz="4" w:space="0" w:color="auto"/>
              <w:left w:val="single" w:sz="4" w:space="0" w:color="auto"/>
              <w:bottom w:val="single" w:sz="4" w:space="0" w:color="auto"/>
              <w:right w:val="single" w:sz="4" w:space="0" w:color="auto"/>
            </w:tcBorders>
            <w:shd w:val="clear" w:color="000000" w:fill="EAE583"/>
            <w:noWrap/>
            <w:vAlign w:val="center"/>
            <w:hideMark/>
          </w:tcPr>
          <w:p w14:paraId="000A9E03"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0.37</w:t>
            </w:r>
          </w:p>
        </w:tc>
      </w:tr>
      <w:tr w:rsidR="008B4C94" w:rsidRPr="00EE6F4E" w14:paraId="17FE7B75"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466BE65"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2009</w:t>
            </w:r>
          </w:p>
        </w:tc>
        <w:tc>
          <w:tcPr>
            <w:tcW w:w="1960" w:type="dxa"/>
            <w:tcBorders>
              <w:top w:val="single" w:sz="4" w:space="0" w:color="auto"/>
              <w:left w:val="single" w:sz="4" w:space="0" w:color="auto"/>
              <w:bottom w:val="single" w:sz="4" w:space="0" w:color="auto"/>
              <w:right w:val="single" w:sz="4" w:space="0" w:color="auto"/>
            </w:tcBorders>
            <w:shd w:val="clear" w:color="000000" w:fill="FA9373"/>
            <w:noWrap/>
            <w:vAlign w:val="center"/>
            <w:hideMark/>
          </w:tcPr>
          <w:p w14:paraId="14A2DEF1"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0.10</w:t>
            </w:r>
          </w:p>
        </w:tc>
        <w:tc>
          <w:tcPr>
            <w:tcW w:w="2440" w:type="dxa"/>
            <w:tcBorders>
              <w:top w:val="single" w:sz="4" w:space="0" w:color="auto"/>
              <w:left w:val="single" w:sz="4" w:space="0" w:color="auto"/>
              <w:bottom w:val="single" w:sz="4" w:space="0" w:color="auto"/>
              <w:right w:val="single" w:sz="4" w:space="0" w:color="auto"/>
            </w:tcBorders>
            <w:shd w:val="clear" w:color="000000" w:fill="F7E984"/>
            <w:noWrap/>
            <w:vAlign w:val="center"/>
            <w:hideMark/>
          </w:tcPr>
          <w:p w14:paraId="474F8A82"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0.32</w:t>
            </w:r>
          </w:p>
        </w:tc>
        <w:tc>
          <w:tcPr>
            <w:tcW w:w="2140" w:type="dxa"/>
            <w:tcBorders>
              <w:top w:val="single" w:sz="4" w:space="0" w:color="auto"/>
              <w:left w:val="single" w:sz="4" w:space="0" w:color="auto"/>
              <w:bottom w:val="single" w:sz="4" w:space="0" w:color="auto"/>
              <w:right w:val="single" w:sz="4" w:space="0" w:color="auto"/>
            </w:tcBorders>
            <w:shd w:val="clear" w:color="000000" w:fill="F98470"/>
            <w:noWrap/>
            <w:vAlign w:val="center"/>
            <w:hideMark/>
          </w:tcPr>
          <w:p w14:paraId="5181779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0.06</w:t>
            </w:r>
          </w:p>
        </w:tc>
        <w:tc>
          <w:tcPr>
            <w:tcW w:w="2200" w:type="dxa"/>
            <w:tcBorders>
              <w:top w:val="single" w:sz="4" w:space="0" w:color="auto"/>
              <w:left w:val="single" w:sz="4" w:space="0" w:color="auto"/>
              <w:bottom w:val="single" w:sz="4" w:space="0" w:color="auto"/>
              <w:right w:val="single" w:sz="4" w:space="0" w:color="auto"/>
            </w:tcBorders>
            <w:shd w:val="clear" w:color="000000" w:fill="FDC97D"/>
            <w:noWrap/>
            <w:vAlign w:val="center"/>
            <w:hideMark/>
          </w:tcPr>
          <w:p w14:paraId="6ED5B7F1"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0.22</w:t>
            </w:r>
          </w:p>
        </w:tc>
      </w:tr>
      <w:tr w:rsidR="008B4C94" w:rsidRPr="00EE6F4E" w14:paraId="79A6B097"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18D3085B"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2010</w:t>
            </w:r>
          </w:p>
        </w:tc>
        <w:tc>
          <w:tcPr>
            <w:tcW w:w="1960" w:type="dxa"/>
            <w:tcBorders>
              <w:top w:val="single" w:sz="4" w:space="0" w:color="auto"/>
              <w:left w:val="single" w:sz="4" w:space="0" w:color="auto"/>
              <w:bottom w:val="single" w:sz="4" w:space="0" w:color="auto"/>
              <w:right w:val="single" w:sz="4" w:space="0" w:color="auto"/>
            </w:tcBorders>
            <w:shd w:val="clear" w:color="000000" w:fill="FDEB84"/>
            <w:noWrap/>
            <w:vAlign w:val="center"/>
            <w:hideMark/>
          </w:tcPr>
          <w:p w14:paraId="72F43E28"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0.30</w:t>
            </w:r>
          </w:p>
        </w:tc>
        <w:tc>
          <w:tcPr>
            <w:tcW w:w="2440" w:type="dxa"/>
            <w:tcBorders>
              <w:top w:val="single" w:sz="4" w:space="0" w:color="auto"/>
              <w:left w:val="single" w:sz="4" w:space="0" w:color="auto"/>
              <w:bottom w:val="single" w:sz="4" w:space="0" w:color="auto"/>
              <w:right w:val="single" w:sz="4" w:space="0" w:color="auto"/>
            </w:tcBorders>
            <w:shd w:val="clear" w:color="000000" w:fill="FDD780"/>
            <w:noWrap/>
            <w:vAlign w:val="center"/>
            <w:hideMark/>
          </w:tcPr>
          <w:p w14:paraId="1F01801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0.25</w:t>
            </w:r>
          </w:p>
        </w:tc>
        <w:tc>
          <w:tcPr>
            <w:tcW w:w="2140" w:type="dxa"/>
            <w:tcBorders>
              <w:top w:val="single" w:sz="4" w:space="0" w:color="auto"/>
              <w:left w:val="single" w:sz="4" w:space="0" w:color="auto"/>
              <w:bottom w:val="single" w:sz="4" w:space="0" w:color="auto"/>
              <w:right w:val="single" w:sz="4" w:space="0" w:color="auto"/>
            </w:tcBorders>
            <w:shd w:val="clear" w:color="000000" w:fill="FA9F75"/>
            <w:noWrap/>
            <w:vAlign w:val="center"/>
            <w:hideMark/>
          </w:tcPr>
          <w:p w14:paraId="179BBA11"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0.12</w:t>
            </w:r>
          </w:p>
        </w:tc>
        <w:tc>
          <w:tcPr>
            <w:tcW w:w="2200" w:type="dxa"/>
            <w:tcBorders>
              <w:top w:val="single" w:sz="4" w:space="0" w:color="auto"/>
              <w:left w:val="single" w:sz="4" w:space="0" w:color="auto"/>
              <w:bottom w:val="single" w:sz="4" w:space="0" w:color="auto"/>
              <w:right w:val="single" w:sz="4" w:space="0" w:color="auto"/>
            </w:tcBorders>
            <w:shd w:val="clear" w:color="000000" w:fill="FDD680"/>
            <w:noWrap/>
            <w:vAlign w:val="center"/>
            <w:hideMark/>
          </w:tcPr>
          <w:p w14:paraId="4C3DCB22"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0.25</w:t>
            </w:r>
          </w:p>
        </w:tc>
      </w:tr>
      <w:tr w:rsidR="008B4C94" w:rsidRPr="00EE6F4E" w14:paraId="4C22D389"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0AD17783"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2011</w:t>
            </w:r>
          </w:p>
        </w:tc>
        <w:tc>
          <w:tcPr>
            <w:tcW w:w="1960" w:type="dxa"/>
            <w:tcBorders>
              <w:top w:val="single" w:sz="4" w:space="0" w:color="auto"/>
              <w:left w:val="single" w:sz="4" w:space="0" w:color="auto"/>
              <w:bottom w:val="single" w:sz="4" w:space="0" w:color="auto"/>
              <w:right w:val="single" w:sz="4" w:space="0" w:color="auto"/>
            </w:tcBorders>
            <w:shd w:val="clear" w:color="000000" w:fill="FEE783"/>
            <w:noWrap/>
            <w:vAlign w:val="center"/>
            <w:hideMark/>
          </w:tcPr>
          <w:p w14:paraId="20E28A60"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0.28</w:t>
            </w:r>
          </w:p>
        </w:tc>
        <w:tc>
          <w:tcPr>
            <w:tcW w:w="2440" w:type="dxa"/>
            <w:tcBorders>
              <w:top w:val="single" w:sz="4" w:space="0" w:color="auto"/>
              <w:left w:val="single" w:sz="4" w:space="0" w:color="auto"/>
              <w:bottom w:val="single" w:sz="4" w:space="0" w:color="auto"/>
              <w:right w:val="single" w:sz="4" w:space="0" w:color="auto"/>
            </w:tcBorders>
            <w:shd w:val="clear" w:color="000000" w:fill="FEE783"/>
            <w:noWrap/>
            <w:vAlign w:val="center"/>
            <w:hideMark/>
          </w:tcPr>
          <w:p w14:paraId="2DE337AE"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0.28</w:t>
            </w:r>
          </w:p>
        </w:tc>
        <w:tc>
          <w:tcPr>
            <w:tcW w:w="2140" w:type="dxa"/>
            <w:tcBorders>
              <w:top w:val="single" w:sz="4" w:space="0" w:color="auto"/>
              <w:left w:val="single" w:sz="4" w:space="0" w:color="auto"/>
              <w:bottom w:val="single" w:sz="4" w:space="0" w:color="auto"/>
              <w:right w:val="single" w:sz="4" w:space="0" w:color="auto"/>
            </w:tcBorders>
            <w:shd w:val="clear" w:color="000000" w:fill="FDD680"/>
            <w:noWrap/>
            <w:vAlign w:val="center"/>
            <w:hideMark/>
          </w:tcPr>
          <w:p w14:paraId="00DBC789"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0.25</w:t>
            </w:r>
          </w:p>
        </w:tc>
        <w:tc>
          <w:tcPr>
            <w:tcW w:w="2200" w:type="dxa"/>
            <w:tcBorders>
              <w:top w:val="single" w:sz="4" w:space="0" w:color="auto"/>
              <w:left w:val="single" w:sz="4" w:space="0" w:color="auto"/>
              <w:bottom w:val="single" w:sz="4" w:space="0" w:color="auto"/>
              <w:right w:val="single" w:sz="4" w:space="0" w:color="auto"/>
            </w:tcBorders>
            <w:shd w:val="clear" w:color="000000" w:fill="FBA776"/>
            <w:noWrap/>
            <w:vAlign w:val="center"/>
            <w:hideMark/>
          </w:tcPr>
          <w:p w14:paraId="0A82848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0.14</w:t>
            </w:r>
          </w:p>
        </w:tc>
      </w:tr>
      <w:tr w:rsidR="008B4C94" w:rsidRPr="00EE6F4E" w14:paraId="5C2ACACC"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6F19FF5A"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2012</w:t>
            </w:r>
          </w:p>
        </w:tc>
        <w:tc>
          <w:tcPr>
            <w:tcW w:w="1960" w:type="dxa"/>
            <w:tcBorders>
              <w:top w:val="single" w:sz="4" w:space="0" w:color="auto"/>
              <w:left w:val="single" w:sz="4" w:space="0" w:color="auto"/>
              <w:bottom w:val="single" w:sz="4" w:space="0" w:color="auto"/>
              <w:right w:val="single" w:sz="4" w:space="0" w:color="auto"/>
            </w:tcBorders>
            <w:shd w:val="clear" w:color="000000" w:fill="FEE883"/>
            <w:noWrap/>
            <w:vAlign w:val="center"/>
            <w:hideMark/>
          </w:tcPr>
          <w:p w14:paraId="53661A4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0.29</w:t>
            </w:r>
          </w:p>
        </w:tc>
        <w:tc>
          <w:tcPr>
            <w:tcW w:w="2440" w:type="dxa"/>
            <w:tcBorders>
              <w:top w:val="single" w:sz="4" w:space="0" w:color="auto"/>
              <w:left w:val="single" w:sz="4" w:space="0" w:color="auto"/>
              <w:bottom w:val="single" w:sz="4" w:space="0" w:color="auto"/>
              <w:right w:val="single" w:sz="4" w:space="0" w:color="auto"/>
            </w:tcBorders>
            <w:shd w:val="clear" w:color="000000" w:fill="FEE582"/>
            <w:noWrap/>
            <w:vAlign w:val="center"/>
            <w:hideMark/>
          </w:tcPr>
          <w:p w14:paraId="0F0AF5EE"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0.28</w:t>
            </w:r>
          </w:p>
        </w:tc>
        <w:tc>
          <w:tcPr>
            <w:tcW w:w="2140" w:type="dxa"/>
            <w:tcBorders>
              <w:top w:val="single" w:sz="4" w:space="0" w:color="auto"/>
              <w:left w:val="single" w:sz="4" w:space="0" w:color="auto"/>
              <w:bottom w:val="single" w:sz="4" w:space="0" w:color="auto"/>
              <w:right w:val="single" w:sz="4" w:space="0" w:color="auto"/>
            </w:tcBorders>
            <w:shd w:val="clear" w:color="000000" w:fill="F97E6F"/>
            <w:noWrap/>
            <w:vAlign w:val="center"/>
            <w:hideMark/>
          </w:tcPr>
          <w:p w14:paraId="328960A9"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0.05</w:t>
            </w:r>
          </w:p>
        </w:tc>
        <w:tc>
          <w:tcPr>
            <w:tcW w:w="2200" w:type="dxa"/>
            <w:tcBorders>
              <w:top w:val="single" w:sz="4" w:space="0" w:color="auto"/>
              <w:left w:val="single" w:sz="4" w:space="0" w:color="auto"/>
              <w:bottom w:val="single" w:sz="4" w:space="0" w:color="auto"/>
              <w:right w:val="single" w:sz="4" w:space="0" w:color="auto"/>
            </w:tcBorders>
            <w:shd w:val="clear" w:color="000000" w:fill="FCBE7B"/>
            <w:noWrap/>
            <w:vAlign w:val="center"/>
            <w:hideMark/>
          </w:tcPr>
          <w:p w14:paraId="5B4E0BE2"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0.19</w:t>
            </w:r>
          </w:p>
        </w:tc>
      </w:tr>
      <w:tr w:rsidR="008B4C94" w:rsidRPr="00EE6F4E" w14:paraId="66EB4A94"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70B2CAF3"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2013</w:t>
            </w:r>
          </w:p>
        </w:tc>
        <w:tc>
          <w:tcPr>
            <w:tcW w:w="1960" w:type="dxa"/>
            <w:tcBorders>
              <w:top w:val="single" w:sz="4" w:space="0" w:color="auto"/>
              <w:left w:val="single" w:sz="4" w:space="0" w:color="auto"/>
              <w:bottom w:val="single" w:sz="4" w:space="0" w:color="auto"/>
              <w:right w:val="single" w:sz="4" w:space="0" w:color="auto"/>
            </w:tcBorders>
            <w:shd w:val="clear" w:color="000000" w:fill="B3D580"/>
            <w:noWrap/>
            <w:vAlign w:val="center"/>
            <w:hideMark/>
          </w:tcPr>
          <w:p w14:paraId="1620BA20"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0.56</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00911C32"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59F350FA"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2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6676641B"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8B4C94" w:rsidRPr="00EE6F4E" w14:paraId="3E7E7C91"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6B9909BF"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2014</w:t>
            </w:r>
          </w:p>
        </w:tc>
        <w:tc>
          <w:tcPr>
            <w:tcW w:w="1960" w:type="dxa"/>
            <w:tcBorders>
              <w:top w:val="single" w:sz="4" w:space="0" w:color="auto"/>
              <w:left w:val="single" w:sz="4" w:space="0" w:color="auto"/>
              <w:bottom w:val="single" w:sz="4" w:space="0" w:color="auto"/>
              <w:right w:val="single" w:sz="4" w:space="0" w:color="auto"/>
            </w:tcBorders>
            <w:shd w:val="clear" w:color="000000" w:fill="FBB279"/>
            <w:noWrap/>
            <w:vAlign w:val="center"/>
            <w:hideMark/>
          </w:tcPr>
          <w:p w14:paraId="6917D97F"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0.17</w:t>
            </w:r>
          </w:p>
        </w:tc>
        <w:tc>
          <w:tcPr>
            <w:tcW w:w="2440" w:type="dxa"/>
            <w:tcBorders>
              <w:top w:val="single" w:sz="4" w:space="0" w:color="auto"/>
              <w:left w:val="single" w:sz="4" w:space="0" w:color="auto"/>
              <w:bottom w:val="single" w:sz="4" w:space="0" w:color="auto"/>
              <w:right w:val="single" w:sz="4" w:space="0" w:color="auto"/>
            </w:tcBorders>
            <w:shd w:val="clear" w:color="000000" w:fill="FDC87D"/>
            <w:noWrap/>
            <w:vAlign w:val="center"/>
            <w:hideMark/>
          </w:tcPr>
          <w:p w14:paraId="52FFD9BE"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0.22</w:t>
            </w:r>
          </w:p>
        </w:tc>
        <w:tc>
          <w:tcPr>
            <w:tcW w:w="2140" w:type="dxa"/>
            <w:tcBorders>
              <w:top w:val="single" w:sz="4" w:space="0" w:color="auto"/>
              <w:left w:val="single" w:sz="4" w:space="0" w:color="auto"/>
              <w:bottom w:val="single" w:sz="4" w:space="0" w:color="auto"/>
              <w:right w:val="single" w:sz="4" w:space="0" w:color="auto"/>
            </w:tcBorders>
            <w:shd w:val="clear" w:color="000000" w:fill="FA9673"/>
            <w:noWrap/>
            <w:vAlign w:val="center"/>
            <w:hideMark/>
          </w:tcPr>
          <w:p w14:paraId="3C512A7C"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0.10</w:t>
            </w:r>
          </w:p>
        </w:tc>
        <w:tc>
          <w:tcPr>
            <w:tcW w:w="2200" w:type="dxa"/>
            <w:tcBorders>
              <w:top w:val="single" w:sz="4" w:space="0" w:color="auto"/>
              <w:left w:val="single" w:sz="4" w:space="0" w:color="auto"/>
              <w:bottom w:val="single" w:sz="4" w:space="0" w:color="auto"/>
              <w:right w:val="single" w:sz="4" w:space="0" w:color="auto"/>
            </w:tcBorders>
            <w:shd w:val="clear" w:color="000000" w:fill="FDCA7D"/>
            <w:noWrap/>
            <w:vAlign w:val="center"/>
            <w:hideMark/>
          </w:tcPr>
          <w:p w14:paraId="10D7B66F"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0.22</w:t>
            </w:r>
          </w:p>
        </w:tc>
      </w:tr>
      <w:tr w:rsidR="008B4C94" w:rsidRPr="00EE6F4E" w14:paraId="4A3FB956"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157DA204"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2015</w:t>
            </w:r>
          </w:p>
        </w:tc>
        <w:tc>
          <w:tcPr>
            <w:tcW w:w="1960" w:type="dxa"/>
            <w:tcBorders>
              <w:top w:val="single" w:sz="4" w:space="0" w:color="auto"/>
              <w:left w:val="single" w:sz="4" w:space="0" w:color="auto"/>
              <w:bottom w:val="single" w:sz="4" w:space="0" w:color="auto"/>
              <w:right w:val="single" w:sz="4" w:space="0" w:color="auto"/>
            </w:tcBorders>
            <w:shd w:val="clear" w:color="000000" w:fill="BCD881"/>
            <w:noWrap/>
            <w:vAlign w:val="center"/>
            <w:hideMark/>
          </w:tcPr>
          <w:p w14:paraId="0FBD370B"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0.53</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68F54E53"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DCE182"/>
            <w:noWrap/>
            <w:vAlign w:val="center"/>
            <w:hideMark/>
          </w:tcPr>
          <w:p w14:paraId="25CAC23C"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0.42</w:t>
            </w:r>
          </w:p>
        </w:tc>
        <w:tc>
          <w:tcPr>
            <w:tcW w:w="22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6E8A49D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8B4C94" w:rsidRPr="00EE6F4E" w14:paraId="19687297"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09B5F861"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2016</w:t>
            </w:r>
          </w:p>
        </w:tc>
        <w:tc>
          <w:tcPr>
            <w:tcW w:w="1960" w:type="dxa"/>
            <w:tcBorders>
              <w:top w:val="single" w:sz="4" w:space="0" w:color="auto"/>
              <w:left w:val="single" w:sz="4" w:space="0" w:color="auto"/>
              <w:bottom w:val="single" w:sz="4" w:space="0" w:color="auto"/>
              <w:right w:val="single" w:sz="4" w:space="0" w:color="auto"/>
            </w:tcBorders>
            <w:shd w:val="clear" w:color="000000" w:fill="F8776D"/>
            <w:noWrap/>
            <w:vAlign w:val="center"/>
            <w:hideMark/>
          </w:tcPr>
          <w:p w14:paraId="25065670"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0.03</w:t>
            </w:r>
          </w:p>
        </w:tc>
        <w:tc>
          <w:tcPr>
            <w:tcW w:w="2440" w:type="dxa"/>
            <w:tcBorders>
              <w:top w:val="single" w:sz="4" w:space="0" w:color="auto"/>
              <w:left w:val="single" w:sz="4" w:space="0" w:color="auto"/>
              <w:bottom w:val="single" w:sz="4" w:space="0" w:color="auto"/>
              <w:right w:val="single" w:sz="4" w:space="0" w:color="auto"/>
            </w:tcBorders>
            <w:shd w:val="clear" w:color="000000" w:fill="CADC81"/>
            <w:noWrap/>
            <w:vAlign w:val="center"/>
            <w:hideMark/>
          </w:tcPr>
          <w:p w14:paraId="7F2EDF2D"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0.48</w:t>
            </w:r>
          </w:p>
        </w:tc>
        <w:tc>
          <w:tcPr>
            <w:tcW w:w="2140" w:type="dxa"/>
            <w:tcBorders>
              <w:top w:val="single" w:sz="4" w:space="0" w:color="auto"/>
              <w:left w:val="single" w:sz="4" w:space="0" w:color="auto"/>
              <w:bottom w:val="single" w:sz="4" w:space="0" w:color="auto"/>
              <w:right w:val="single" w:sz="4" w:space="0" w:color="auto"/>
            </w:tcBorders>
            <w:shd w:val="clear" w:color="000000" w:fill="EEE683"/>
            <w:noWrap/>
            <w:vAlign w:val="center"/>
            <w:hideMark/>
          </w:tcPr>
          <w:p w14:paraId="4434AF0B"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0.35</w:t>
            </w:r>
          </w:p>
        </w:tc>
        <w:tc>
          <w:tcPr>
            <w:tcW w:w="2200" w:type="dxa"/>
            <w:tcBorders>
              <w:top w:val="single" w:sz="4" w:space="0" w:color="auto"/>
              <w:left w:val="single" w:sz="4" w:space="0" w:color="auto"/>
              <w:bottom w:val="single" w:sz="4" w:space="0" w:color="auto"/>
              <w:right w:val="single" w:sz="4" w:space="0" w:color="auto"/>
            </w:tcBorders>
            <w:shd w:val="clear" w:color="000000" w:fill="F97E6F"/>
            <w:noWrap/>
            <w:vAlign w:val="center"/>
            <w:hideMark/>
          </w:tcPr>
          <w:p w14:paraId="342C0FD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0.05</w:t>
            </w:r>
          </w:p>
        </w:tc>
      </w:tr>
      <w:tr w:rsidR="008B4C94" w:rsidRPr="00EE6F4E" w14:paraId="31EABE0A"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5700C945"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2017</w:t>
            </w:r>
          </w:p>
        </w:tc>
        <w:tc>
          <w:tcPr>
            <w:tcW w:w="1960" w:type="dxa"/>
            <w:tcBorders>
              <w:top w:val="single" w:sz="4" w:space="0" w:color="auto"/>
              <w:left w:val="single" w:sz="4" w:space="0" w:color="auto"/>
              <w:bottom w:val="single" w:sz="4" w:space="0" w:color="auto"/>
              <w:right w:val="single" w:sz="4" w:space="0" w:color="auto"/>
            </w:tcBorders>
            <w:shd w:val="clear" w:color="000000" w:fill="9CCF7F"/>
            <w:noWrap/>
            <w:vAlign w:val="center"/>
            <w:hideMark/>
          </w:tcPr>
          <w:p w14:paraId="543641AB"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0.64</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408222A6"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9FD07F"/>
            <w:noWrap/>
            <w:vAlign w:val="center"/>
            <w:hideMark/>
          </w:tcPr>
          <w:p w14:paraId="5B7818DD"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0.63</w:t>
            </w:r>
          </w:p>
        </w:tc>
        <w:tc>
          <w:tcPr>
            <w:tcW w:w="22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295EB8F8"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8B4C94" w:rsidRPr="00EE6F4E" w14:paraId="404834F5"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1589451A"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2018</w:t>
            </w:r>
          </w:p>
        </w:tc>
        <w:tc>
          <w:tcPr>
            <w:tcW w:w="1960" w:type="dxa"/>
            <w:tcBorders>
              <w:top w:val="single" w:sz="4" w:space="0" w:color="auto"/>
              <w:left w:val="single" w:sz="4" w:space="0" w:color="auto"/>
              <w:bottom w:val="single" w:sz="4" w:space="0" w:color="auto"/>
              <w:right w:val="single" w:sz="4" w:space="0" w:color="auto"/>
            </w:tcBorders>
            <w:shd w:val="clear" w:color="000000" w:fill="F6E984"/>
            <w:noWrap/>
            <w:vAlign w:val="center"/>
            <w:hideMark/>
          </w:tcPr>
          <w:p w14:paraId="4E2CA42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0.32</w:t>
            </w:r>
          </w:p>
        </w:tc>
        <w:tc>
          <w:tcPr>
            <w:tcW w:w="2440" w:type="dxa"/>
            <w:tcBorders>
              <w:top w:val="single" w:sz="4" w:space="0" w:color="auto"/>
              <w:left w:val="single" w:sz="4" w:space="0" w:color="auto"/>
              <w:bottom w:val="single" w:sz="4" w:space="0" w:color="auto"/>
              <w:right w:val="single" w:sz="4" w:space="0" w:color="auto"/>
            </w:tcBorders>
            <w:shd w:val="clear" w:color="000000" w:fill="FCC07B"/>
            <w:noWrap/>
            <w:vAlign w:val="center"/>
            <w:hideMark/>
          </w:tcPr>
          <w:p w14:paraId="21A23E5E"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0.20</w:t>
            </w:r>
          </w:p>
        </w:tc>
        <w:tc>
          <w:tcPr>
            <w:tcW w:w="2140" w:type="dxa"/>
            <w:tcBorders>
              <w:top w:val="single" w:sz="4" w:space="0" w:color="auto"/>
              <w:left w:val="single" w:sz="4" w:space="0" w:color="auto"/>
              <w:bottom w:val="single" w:sz="4" w:space="0" w:color="auto"/>
              <w:right w:val="single" w:sz="4" w:space="0" w:color="auto"/>
            </w:tcBorders>
            <w:shd w:val="clear" w:color="000000" w:fill="FBAD78"/>
            <w:noWrap/>
            <w:vAlign w:val="center"/>
            <w:hideMark/>
          </w:tcPr>
          <w:p w14:paraId="683F5996"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0.15</w:t>
            </w:r>
          </w:p>
        </w:tc>
        <w:tc>
          <w:tcPr>
            <w:tcW w:w="2200" w:type="dxa"/>
            <w:tcBorders>
              <w:top w:val="single" w:sz="4" w:space="0" w:color="auto"/>
              <w:left w:val="single" w:sz="4" w:space="0" w:color="auto"/>
              <w:bottom w:val="single" w:sz="4" w:space="0" w:color="auto"/>
              <w:right w:val="single" w:sz="4" w:space="0" w:color="auto"/>
            </w:tcBorders>
            <w:shd w:val="clear" w:color="000000" w:fill="AED480"/>
            <w:noWrap/>
            <w:vAlign w:val="center"/>
            <w:hideMark/>
          </w:tcPr>
          <w:p w14:paraId="615CCD98"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0.58</w:t>
            </w:r>
          </w:p>
        </w:tc>
      </w:tr>
      <w:tr w:rsidR="008B4C94" w:rsidRPr="00EE6F4E" w14:paraId="1FEE3B2A"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D2474B2"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2019</w:t>
            </w:r>
          </w:p>
        </w:tc>
        <w:tc>
          <w:tcPr>
            <w:tcW w:w="1960" w:type="dxa"/>
            <w:tcBorders>
              <w:top w:val="single" w:sz="4" w:space="0" w:color="auto"/>
              <w:left w:val="single" w:sz="4" w:space="0" w:color="auto"/>
              <w:bottom w:val="single" w:sz="4" w:space="0" w:color="auto"/>
              <w:right w:val="single" w:sz="4" w:space="0" w:color="auto"/>
            </w:tcBorders>
            <w:shd w:val="clear" w:color="000000" w:fill="93CC7E"/>
            <w:noWrap/>
            <w:vAlign w:val="center"/>
            <w:hideMark/>
          </w:tcPr>
          <w:p w14:paraId="6A9D9466"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0.67</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A52EEB0"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F8766D"/>
            <w:noWrap/>
            <w:vAlign w:val="center"/>
            <w:hideMark/>
          </w:tcPr>
          <w:p w14:paraId="1A9BA36A"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0.03</w:t>
            </w:r>
          </w:p>
        </w:tc>
        <w:tc>
          <w:tcPr>
            <w:tcW w:w="22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5FD8EC4D"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8B4C94" w:rsidRPr="00EE6F4E" w14:paraId="07931BF0"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11607109"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2020</w:t>
            </w:r>
          </w:p>
        </w:tc>
        <w:tc>
          <w:tcPr>
            <w:tcW w:w="1960" w:type="dxa"/>
            <w:tcBorders>
              <w:top w:val="single" w:sz="4" w:space="0" w:color="auto"/>
              <w:left w:val="single" w:sz="4" w:space="0" w:color="auto"/>
              <w:bottom w:val="single" w:sz="4" w:space="0" w:color="auto"/>
              <w:right w:val="single" w:sz="4" w:space="0" w:color="auto"/>
            </w:tcBorders>
            <w:shd w:val="clear" w:color="000000" w:fill="EDE683"/>
            <w:noWrap/>
            <w:vAlign w:val="center"/>
            <w:hideMark/>
          </w:tcPr>
          <w:p w14:paraId="3BDD114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0.36</w:t>
            </w:r>
          </w:p>
        </w:tc>
        <w:tc>
          <w:tcPr>
            <w:tcW w:w="2440" w:type="dxa"/>
            <w:tcBorders>
              <w:top w:val="single" w:sz="4" w:space="0" w:color="auto"/>
              <w:left w:val="single" w:sz="4" w:space="0" w:color="auto"/>
              <w:bottom w:val="single" w:sz="4" w:space="0" w:color="auto"/>
              <w:right w:val="single" w:sz="4" w:space="0" w:color="auto"/>
            </w:tcBorders>
            <w:shd w:val="clear" w:color="000000" w:fill="CADC81"/>
            <w:noWrap/>
            <w:vAlign w:val="center"/>
            <w:hideMark/>
          </w:tcPr>
          <w:p w14:paraId="2AECB4AD"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0.48</w:t>
            </w:r>
          </w:p>
        </w:tc>
        <w:tc>
          <w:tcPr>
            <w:tcW w:w="2140" w:type="dxa"/>
            <w:tcBorders>
              <w:top w:val="single" w:sz="4" w:space="0" w:color="auto"/>
              <w:left w:val="single" w:sz="4" w:space="0" w:color="auto"/>
              <w:bottom w:val="single" w:sz="4" w:space="0" w:color="auto"/>
              <w:right w:val="single" w:sz="4" w:space="0" w:color="auto"/>
            </w:tcBorders>
            <w:shd w:val="clear" w:color="000000" w:fill="FAEA84"/>
            <w:noWrap/>
            <w:vAlign w:val="center"/>
            <w:hideMark/>
          </w:tcPr>
          <w:p w14:paraId="55DC0931"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0.31</w:t>
            </w:r>
          </w:p>
        </w:tc>
        <w:tc>
          <w:tcPr>
            <w:tcW w:w="2200" w:type="dxa"/>
            <w:tcBorders>
              <w:top w:val="single" w:sz="4" w:space="0" w:color="auto"/>
              <w:left w:val="single" w:sz="4" w:space="0" w:color="auto"/>
              <w:bottom w:val="single" w:sz="4" w:space="0" w:color="auto"/>
              <w:right w:val="single" w:sz="4" w:space="0" w:color="auto"/>
            </w:tcBorders>
            <w:shd w:val="clear" w:color="000000" w:fill="B1D580"/>
            <w:noWrap/>
            <w:vAlign w:val="center"/>
            <w:hideMark/>
          </w:tcPr>
          <w:p w14:paraId="75598D6A"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0.57</w:t>
            </w:r>
          </w:p>
        </w:tc>
      </w:tr>
      <w:tr w:rsidR="008B4C94" w:rsidRPr="00EE6F4E" w14:paraId="5F4D635E"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31A3868D"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2021</w:t>
            </w:r>
          </w:p>
        </w:tc>
        <w:tc>
          <w:tcPr>
            <w:tcW w:w="1960" w:type="dxa"/>
            <w:tcBorders>
              <w:top w:val="single" w:sz="4" w:space="0" w:color="auto"/>
              <w:left w:val="single" w:sz="4" w:space="0" w:color="auto"/>
              <w:bottom w:val="single" w:sz="4" w:space="0" w:color="auto"/>
              <w:right w:val="single" w:sz="4" w:space="0" w:color="auto"/>
            </w:tcBorders>
            <w:shd w:val="clear" w:color="000000" w:fill="78C57D"/>
            <w:noWrap/>
            <w:vAlign w:val="center"/>
            <w:hideMark/>
          </w:tcPr>
          <w:p w14:paraId="696DAA2F"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0.77</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2F26BA8C"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C6DB81"/>
            <w:noWrap/>
            <w:vAlign w:val="center"/>
            <w:hideMark/>
          </w:tcPr>
          <w:p w14:paraId="7BCF4ECB"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0.49</w:t>
            </w:r>
          </w:p>
        </w:tc>
        <w:tc>
          <w:tcPr>
            <w:tcW w:w="2200" w:type="dxa"/>
            <w:tcBorders>
              <w:top w:val="single" w:sz="4" w:space="0" w:color="auto"/>
              <w:left w:val="single" w:sz="4" w:space="0" w:color="auto"/>
              <w:bottom w:val="single" w:sz="4" w:space="0" w:color="auto"/>
              <w:right w:val="single" w:sz="4" w:space="0" w:color="auto"/>
            </w:tcBorders>
            <w:shd w:val="clear" w:color="000000" w:fill="F86C6B"/>
            <w:noWrap/>
            <w:vAlign w:val="center"/>
            <w:hideMark/>
          </w:tcPr>
          <w:p w14:paraId="5B0EBBF4"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0.01</w:t>
            </w:r>
          </w:p>
        </w:tc>
      </w:tr>
      <w:tr w:rsidR="008B4C94" w:rsidRPr="00EE6F4E" w14:paraId="4AAEC9CC"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36EA0449"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2022</w:t>
            </w:r>
          </w:p>
        </w:tc>
        <w:tc>
          <w:tcPr>
            <w:tcW w:w="1960" w:type="dxa"/>
            <w:tcBorders>
              <w:top w:val="single" w:sz="4" w:space="0" w:color="auto"/>
              <w:left w:val="single" w:sz="4" w:space="0" w:color="auto"/>
              <w:bottom w:val="single" w:sz="4" w:space="0" w:color="auto"/>
              <w:right w:val="single" w:sz="4" w:space="0" w:color="auto"/>
            </w:tcBorders>
            <w:shd w:val="clear" w:color="000000" w:fill="B7D780"/>
            <w:noWrap/>
            <w:vAlign w:val="center"/>
            <w:hideMark/>
          </w:tcPr>
          <w:p w14:paraId="4AB33704"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0.55</w:t>
            </w:r>
          </w:p>
        </w:tc>
        <w:tc>
          <w:tcPr>
            <w:tcW w:w="2440" w:type="dxa"/>
            <w:tcBorders>
              <w:top w:val="single" w:sz="4" w:space="0" w:color="auto"/>
              <w:left w:val="single" w:sz="4" w:space="0" w:color="auto"/>
              <w:bottom w:val="single" w:sz="4" w:space="0" w:color="auto"/>
              <w:right w:val="single" w:sz="4" w:space="0" w:color="auto"/>
            </w:tcBorders>
            <w:shd w:val="clear" w:color="000000" w:fill="D2DE82"/>
            <w:noWrap/>
            <w:vAlign w:val="center"/>
            <w:hideMark/>
          </w:tcPr>
          <w:p w14:paraId="58526DC4"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0.45</w:t>
            </w:r>
          </w:p>
        </w:tc>
        <w:tc>
          <w:tcPr>
            <w:tcW w:w="2140" w:type="dxa"/>
            <w:tcBorders>
              <w:top w:val="single" w:sz="4" w:space="0" w:color="auto"/>
              <w:left w:val="single" w:sz="4" w:space="0" w:color="auto"/>
              <w:bottom w:val="single" w:sz="4" w:space="0" w:color="auto"/>
              <w:right w:val="single" w:sz="4" w:space="0" w:color="auto"/>
            </w:tcBorders>
            <w:shd w:val="clear" w:color="000000" w:fill="FA9C74"/>
            <w:noWrap/>
            <w:vAlign w:val="center"/>
            <w:hideMark/>
          </w:tcPr>
          <w:p w14:paraId="6D49E5D2"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0.12</w:t>
            </w:r>
          </w:p>
        </w:tc>
        <w:tc>
          <w:tcPr>
            <w:tcW w:w="2200" w:type="dxa"/>
            <w:tcBorders>
              <w:top w:val="single" w:sz="4" w:space="0" w:color="auto"/>
              <w:left w:val="single" w:sz="4" w:space="0" w:color="auto"/>
              <w:bottom w:val="single" w:sz="4" w:space="0" w:color="auto"/>
              <w:right w:val="single" w:sz="4" w:space="0" w:color="auto"/>
            </w:tcBorders>
            <w:shd w:val="clear" w:color="000000" w:fill="F0E784"/>
            <w:noWrap/>
            <w:vAlign w:val="center"/>
            <w:hideMark/>
          </w:tcPr>
          <w:p w14:paraId="47029F8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0.35</w:t>
            </w:r>
          </w:p>
        </w:tc>
      </w:tr>
      <w:tr w:rsidR="008B4C94" w:rsidRPr="00EE6F4E" w14:paraId="637D8026"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E806317"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2023</w:t>
            </w:r>
          </w:p>
        </w:tc>
        <w:tc>
          <w:tcPr>
            <w:tcW w:w="1960" w:type="dxa"/>
            <w:tcBorders>
              <w:top w:val="single" w:sz="4" w:space="0" w:color="auto"/>
              <w:left w:val="single" w:sz="4" w:space="0" w:color="auto"/>
              <w:bottom w:val="single" w:sz="4" w:space="0" w:color="auto"/>
              <w:right w:val="single" w:sz="4" w:space="0" w:color="auto"/>
            </w:tcBorders>
            <w:shd w:val="clear" w:color="000000" w:fill="96CD7E"/>
            <w:noWrap/>
            <w:vAlign w:val="center"/>
            <w:hideMark/>
          </w:tcPr>
          <w:p w14:paraId="0E6623E1"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0.66</w:t>
            </w:r>
          </w:p>
        </w:tc>
        <w:tc>
          <w:tcPr>
            <w:tcW w:w="24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F7B1CE4"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40" w:type="dxa"/>
            <w:tcBorders>
              <w:top w:val="single" w:sz="4" w:space="0" w:color="auto"/>
              <w:left w:val="single" w:sz="4" w:space="0" w:color="auto"/>
              <w:bottom w:val="single" w:sz="4" w:space="0" w:color="auto"/>
              <w:right w:val="single" w:sz="4" w:space="0" w:color="auto"/>
            </w:tcBorders>
            <w:shd w:val="clear" w:color="000000" w:fill="E5E483"/>
            <w:noWrap/>
            <w:vAlign w:val="center"/>
            <w:hideMark/>
          </w:tcPr>
          <w:p w14:paraId="311052D6"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0.38</w:t>
            </w:r>
          </w:p>
        </w:tc>
        <w:tc>
          <w:tcPr>
            <w:tcW w:w="22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5A46A6E5"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bl>
    <w:p w14:paraId="611C48D6" w14:textId="76CCC7C4" w:rsidR="008B4C94" w:rsidRPr="008B4C94" w:rsidRDefault="008B4C94" w:rsidP="008B4C94">
      <w:pPr>
        <w:spacing w:line="360" w:lineRule="auto"/>
        <w:jc w:val="center"/>
        <w:rPr>
          <w:rFonts w:ascii="Times New Roman" w:eastAsia="Times New Roman" w:hAnsi="Times New Roman"/>
          <w:bCs/>
          <w:lang w:val="bg-BG"/>
        </w:rPr>
      </w:pPr>
      <w:r w:rsidRPr="00EE6F4E">
        <w:rPr>
          <w:rFonts w:ascii="Times New Roman" w:eastAsia="Times New Roman" w:hAnsi="Times New Roman"/>
          <w:bCs/>
          <w:lang w:val="bg-BG"/>
        </w:rPr>
        <w:t>Източник: Собствени изчисления</w:t>
      </w:r>
    </w:p>
    <w:p w14:paraId="65179C21" w14:textId="582D68DA" w:rsidR="00561F60" w:rsidRPr="00561F60" w:rsidRDefault="00561F60" w:rsidP="00A67A46">
      <w:pPr>
        <w:spacing w:line="360" w:lineRule="auto"/>
        <w:ind w:firstLine="720"/>
        <w:jc w:val="both"/>
        <w:rPr>
          <w:rFonts w:ascii="Times New Roman" w:hAnsi="Times New Roman" w:cs="Times New Roman"/>
          <w:lang w:val="bg-BG"/>
        </w:rPr>
      </w:pPr>
      <w:r w:rsidRPr="00561F60">
        <w:rPr>
          <w:rFonts w:ascii="Times New Roman" w:hAnsi="Times New Roman" w:cs="Times New Roman"/>
          <w:lang w:val="bg-BG"/>
        </w:rPr>
        <w:t>Обратно, стопанствата със смесена специализация и пасищно животновъдство показват по-добър баланс между икономически и екологични показатели. Динамиката на икономическата ефективност по производствена специализация, измерена чрез ОСО икономически коефициент за периода 2007–2023 г., показва устойчива тенденция на растеж при всички типове, но с различна скорост. Най-бързо нарастване се наблюдава при стопанствата с трайни насаждения и градинарство, което се дължи на по-високата добавена стойност на продукцията и по-добрия достъп до пазари. Стойностите на показателите за икономическа ефективност според производствената специализация са систематизирани в следната таблица:</w:t>
      </w:r>
    </w:p>
    <w:p w14:paraId="0639BF54" w14:textId="77777777" w:rsidR="008B4C94" w:rsidRPr="00333346" w:rsidRDefault="008B4C94" w:rsidP="008B4C94">
      <w:pPr>
        <w:spacing w:line="360" w:lineRule="auto"/>
        <w:ind w:firstLine="720"/>
        <w:jc w:val="center"/>
        <w:rPr>
          <w:rFonts w:ascii="Times New Roman" w:eastAsia="Times New Roman" w:hAnsi="Times New Roman"/>
          <w:bCs/>
          <w:lang w:val="bg-BG"/>
        </w:rPr>
      </w:pPr>
      <w:bookmarkStart w:id="15" w:name="_Toc228919032"/>
      <w:r w:rsidRPr="00333346">
        <w:rPr>
          <w:rFonts w:ascii="Times New Roman" w:eastAsia="Times New Roman" w:hAnsi="Times New Roman"/>
          <w:bCs/>
          <w:lang w:val="bg-BG"/>
        </w:rPr>
        <w:t xml:space="preserve">Таблица </w:t>
      </w:r>
      <w:r w:rsidRPr="00333346">
        <w:rPr>
          <w:rFonts w:ascii="Times New Roman" w:eastAsia="Times New Roman" w:hAnsi="Times New Roman"/>
          <w:bCs/>
          <w:lang w:val="bg-BG"/>
        </w:rPr>
        <w:fldChar w:fldCharType="begin"/>
      </w:r>
      <w:r w:rsidRPr="00333346">
        <w:rPr>
          <w:rFonts w:ascii="Times New Roman" w:eastAsia="Times New Roman" w:hAnsi="Times New Roman"/>
          <w:bCs/>
          <w:lang w:val="bg-BG"/>
        </w:rPr>
        <w:instrText xml:space="preserve"> SEQ Таблица \* ARABIC </w:instrText>
      </w:r>
      <w:r w:rsidRPr="00333346">
        <w:rPr>
          <w:rFonts w:ascii="Times New Roman" w:eastAsia="Times New Roman" w:hAnsi="Times New Roman"/>
          <w:bCs/>
          <w:lang w:val="bg-BG"/>
        </w:rPr>
        <w:fldChar w:fldCharType="separate"/>
      </w:r>
      <w:r>
        <w:rPr>
          <w:rFonts w:ascii="Times New Roman" w:eastAsia="Times New Roman" w:hAnsi="Times New Roman"/>
          <w:bCs/>
          <w:noProof/>
          <w:lang w:val="bg-BG"/>
        </w:rPr>
        <w:t>23</w:t>
      </w:r>
      <w:r w:rsidRPr="00333346">
        <w:rPr>
          <w:rFonts w:ascii="Times New Roman" w:eastAsia="Times New Roman" w:hAnsi="Times New Roman"/>
          <w:bCs/>
          <w:lang w:val="bg-BG"/>
        </w:rPr>
        <w:fldChar w:fldCharType="end"/>
      </w:r>
      <w:r w:rsidRPr="00333346">
        <w:rPr>
          <w:rFonts w:ascii="Times New Roman" w:eastAsia="Times New Roman" w:hAnsi="Times New Roman"/>
          <w:bCs/>
          <w:lang w:val="bg-BG"/>
        </w:rPr>
        <w:t xml:space="preserve"> </w:t>
      </w:r>
      <w:r w:rsidRPr="00622655">
        <w:rPr>
          <w:rFonts w:ascii="Times New Roman" w:eastAsia="Times New Roman" w:hAnsi="Times New Roman"/>
          <w:bCs/>
          <w:lang w:val="bg-BG"/>
        </w:rPr>
        <w:t xml:space="preserve">Стойности на показателите за икономическа ефективност на земеделските стопанства според икономическия размер </w:t>
      </w:r>
      <w:r w:rsidRPr="00333346">
        <w:rPr>
          <w:rFonts w:ascii="Times New Roman" w:eastAsia="Times New Roman" w:hAnsi="Times New Roman"/>
          <w:bCs/>
          <w:lang w:val="bg-BG"/>
        </w:rPr>
        <w:t>(2007–2023 г.)</w:t>
      </w:r>
      <w:bookmarkEnd w:id="15"/>
    </w:p>
    <w:tbl>
      <w:tblPr>
        <w:tblW w:w="10600" w:type="dxa"/>
        <w:jc w:val="center"/>
        <w:tblLook w:val="04A0" w:firstRow="1" w:lastRow="0" w:firstColumn="1" w:lastColumn="0" w:noHBand="0" w:noVBand="1"/>
      </w:tblPr>
      <w:tblGrid>
        <w:gridCol w:w="1220"/>
        <w:gridCol w:w="2240"/>
        <w:gridCol w:w="2300"/>
        <w:gridCol w:w="2740"/>
        <w:gridCol w:w="2100"/>
      </w:tblGrid>
      <w:tr w:rsidR="008B4C94" w:rsidRPr="00EE6F4E" w14:paraId="7B7F3D30" w14:textId="77777777" w:rsidTr="00BA1CD0">
        <w:trPr>
          <w:trHeight w:val="510"/>
          <w:jc w:val="center"/>
        </w:trPr>
        <w:tc>
          <w:tcPr>
            <w:tcW w:w="1220" w:type="dxa"/>
            <w:tcBorders>
              <w:top w:val="single" w:sz="4" w:space="0" w:color="auto"/>
              <w:left w:val="single" w:sz="4" w:space="0" w:color="auto"/>
              <w:bottom w:val="single" w:sz="4" w:space="0" w:color="auto"/>
              <w:right w:val="single" w:sz="4" w:space="0" w:color="auto"/>
            </w:tcBorders>
            <w:vAlign w:val="center"/>
            <w:hideMark/>
          </w:tcPr>
          <w:p w14:paraId="706DA9EB"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Година</w:t>
            </w:r>
          </w:p>
        </w:tc>
        <w:tc>
          <w:tcPr>
            <w:tcW w:w="2240" w:type="dxa"/>
            <w:tcBorders>
              <w:top w:val="single" w:sz="4" w:space="0" w:color="auto"/>
              <w:left w:val="nil"/>
              <w:bottom w:val="single" w:sz="4" w:space="0" w:color="auto"/>
              <w:right w:val="single" w:sz="4" w:space="0" w:color="auto"/>
            </w:tcBorders>
            <w:shd w:val="clear" w:color="000000" w:fill="FFFFFF"/>
            <w:vAlign w:val="center"/>
            <w:hideMark/>
          </w:tcPr>
          <w:p w14:paraId="3A1C8340"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Млечно животновъдство</w:t>
            </w:r>
          </w:p>
        </w:tc>
        <w:tc>
          <w:tcPr>
            <w:tcW w:w="2300" w:type="dxa"/>
            <w:tcBorders>
              <w:top w:val="single" w:sz="4" w:space="0" w:color="auto"/>
              <w:left w:val="nil"/>
              <w:bottom w:val="single" w:sz="4" w:space="0" w:color="auto"/>
              <w:right w:val="single" w:sz="4" w:space="0" w:color="auto"/>
            </w:tcBorders>
            <w:shd w:val="clear" w:color="000000" w:fill="FFFFFF"/>
            <w:vAlign w:val="center"/>
            <w:hideMark/>
          </w:tcPr>
          <w:p w14:paraId="72E3F0DC"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Други пасищни животни</w:t>
            </w:r>
          </w:p>
        </w:tc>
        <w:tc>
          <w:tcPr>
            <w:tcW w:w="2740" w:type="dxa"/>
            <w:tcBorders>
              <w:top w:val="single" w:sz="4" w:space="0" w:color="auto"/>
              <w:left w:val="nil"/>
              <w:bottom w:val="single" w:sz="4" w:space="0" w:color="auto"/>
              <w:right w:val="single" w:sz="4" w:space="0" w:color="auto"/>
            </w:tcBorders>
            <w:shd w:val="clear" w:color="000000" w:fill="FFFFFF"/>
            <w:vAlign w:val="center"/>
            <w:hideMark/>
          </w:tcPr>
          <w:p w14:paraId="2D9C141F"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Интензивно животновъдство</w:t>
            </w:r>
          </w:p>
        </w:tc>
        <w:tc>
          <w:tcPr>
            <w:tcW w:w="2100" w:type="dxa"/>
            <w:tcBorders>
              <w:top w:val="single" w:sz="4" w:space="0" w:color="auto"/>
              <w:left w:val="nil"/>
              <w:bottom w:val="single" w:sz="4" w:space="0" w:color="auto"/>
              <w:right w:val="single" w:sz="4" w:space="0" w:color="auto"/>
            </w:tcBorders>
            <w:shd w:val="clear" w:color="000000" w:fill="FFFFFF"/>
            <w:vAlign w:val="center"/>
            <w:hideMark/>
          </w:tcPr>
          <w:p w14:paraId="57BCA7D3"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Смесено земеделие</w:t>
            </w:r>
          </w:p>
        </w:tc>
      </w:tr>
      <w:tr w:rsidR="008B4C94" w:rsidRPr="00EE6F4E" w14:paraId="4FF82BE6"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5B5B5E16"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2007</w:t>
            </w:r>
          </w:p>
        </w:tc>
        <w:tc>
          <w:tcPr>
            <w:tcW w:w="2240" w:type="dxa"/>
            <w:tcBorders>
              <w:top w:val="single" w:sz="4" w:space="0" w:color="auto"/>
              <w:left w:val="single" w:sz="4" w:space="0" w:color="auto"/>
              <w:bottom w:val="single" w:sz="4" w:space="0" w:color="auto"/>
              <w:right w:val="single" w:sz="4" w:space="0" w:color="auto"/>
            </w:tcBorders>
            <w:shd w:val="clear" w:color="000000" w:fill="D2DE82"/>
            <w:noWrap/>
            <w:vAlign w:val="center"/>
            <w:hideMark/>
          </w:tcPr>
          <w:p w14:paraId="5B355160"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0.45</w:t>
            </w:r>
          </w:p>
        </w:tc>
        <w:tc>
          <w:tcPr>
            <w:tcW w:w="2300" w:type="dxa"/>
            <w:tcBorders>
              <w:top w:val="single" w:sz="4" w:space="0" w:color="auto"/>
              <w:left w:val="single" w:sz="4" w:space="0" w:color="auto"/>
              <w:bottom w:val="single" w:sz="4" w:space="0" w:color="auto"/>
              <w:right w:val="single" w:sz="4" w:space="0" w:color="auto"/>
            </w:tcBorders>
            <w:shd w:val="clear" w:color="000000" w:fill="DAE182"/>
            <w:noWrap/>
            <w:vAlign w:val="center"/>
            <w:hideMark/>
          </w:tcPr>
          <w:p w14:paraId="277FB27C"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0.42</w:t>
            </w:r>
          </w:p>
        </w:tc>
        <w:tc>
          <w:tcPr>
            <w:tcW w:w="2740" w:type="dxa"/>
            <w:tcBorders>
              <w:top w:val="single" w:sz="4" w:space="0" w:color="auto"/>
              <w:left w:val="single" w:sz="4" w:space="0" w:color="auto"/>
              <w:bottom w:val="single" w:sz="4" w:space="0" w:color="auto"/>
              <w:right w:val="single" w:sz="4" w:space="0" w:color="auto"/>
            </w:tcBorders>
            <w:shd w:val="clear" w:color="000000" w:fill="E8E583"/>
            <w:noWrap/>
            <w:vAlign w:val="center"/>
            <w:hideMark/>
          </w:tcPr>
          <w:p w14:paraId="68EEF405"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0.37</w:t>
            </w:r>
          </w:p>
        </w:tc>
        <w:tc>
          <w:tcPr>
            <w:tcW w:w="2100" w:type="dxa"/>
            <w:tcBorders>
              <w:top w:val="single" w:sz="4" w:space="0" w:color="auto"/>
              <w:left w:val="single" w:sz="4" w:space="0" w:color="auto"/>
              <w:bottom w:val="single" w:sz="4" w:space="0" w:color="auto"/>
              <w:right w:val="single" w:sz="4" w:space="0" w:color="auto"/>
            </w:tcBorders>
            <w:shd w:val="clear" w:color="000000" w:fill="EEE683"/>
            <w:noWrap/>
            <w:vAlign w:val="center"/>
            <w:hideMark/>
          </w:tcPr>
          <w:p w14:paraId="32144DC4"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0.35</w:t>
            </w:r>
          </w:p>
        </w:tc>
      </w:tr>
      <w:tr w:rsidR="008B4C94" w:rsidRPr="00EE6F4E" w14:paraId="7E16B5DB"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7EB8EC45"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2008</w:t>
            </w:r>
          </w:p>
        </w:tc>
        <w:tc>
          <w:tcPr>
            <w:tcW w:w="2240" w:type="dxa"/>
            <w:tcBorders>
              <w:top w:val="single" w:sz="4" w:space="0" w:color="auto"/>
              <w:left w:val="single" w:sz="4" w:space="0" w:color="auto"/>
              <w:bottom w:val="single" w:sz="4" w:space="0" w:color="auto"/>
              <w:right w:val="single" w:sz="4" w:space="0" w:color="auto"/>
            </w:tcBorders>
            <w:shd w:val="clear" w:color="000000" w:fill="E6E483"/>
            <w:noWrap/>
            <w:vAlign w:val="center"/>
            <w:hideMark/>
          </w:tcPr>
          <w:p w14:paraId="174D0B7B"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0.38</w:t>
            </w:r>
          </w:p>
        </w:tc>
        <w:tc>
          <w:tcPr>
            <w:tcW w:w="2300" w:type="dxa"/>
            <w:tcBorders>
              <w:top w:val="single" w:sz="4" w:space="0" w:color="auto"/>
              <w:left w:val="single" w:sz="4" w:space="0" w:color="auto"/>
              <w:bottom w:val="single" w:sz="4" w:space="0" w:color="auto"/>
              <w:right w:val="single" w:sz="4" w:space="0" w:color="auto"/>
            </w:tcBorders>
            <w:shd w:val="clear" w:color="000000" w:fill="EDE683"/>
            <w:noWrap/>
            <w:vAlign w:val="center"/>
            <w:hideMark/>
          </w:tcPr>
          <w:p w14:paraId="01BE1D44"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0.36</w:t>
            </w:r>
          </w:p>
        </w:tc>
        <w:tc>
          <w:tcPr>
            <w:tcW w:w="2740" w:type="dxa"/>
            <w:tcBorders>
              <w:top w:val="single" w:sz="4" w:space="0" w:color="auto"/>
              <w:left w:val="single" w:sz="4" w:space="0" w:color="auto"/>
              <w:bottom w:val="single" w:sz="4" w:space="0" w:color="auto"/>
              <w:right w:val="single" w:sz="4" w:space="0" w:color="auto"/>
            </w:tcBorders>
            <w:shd w:val="clear" w:color="000000" w:fill="FED880"/>
            <w:noWrap/>
            <w:vAlign w:val="center"/>
            <w:hideMark/>
          </w:tcPr>
          <w:p w14:paraId="75757A4A"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0.25</w:t>
            </w:r>
          </w:p>
        </w:tc>
        <w:tc>
          <w:tcPr>
            <w:tcW w:w="2100" w:type="dxa"/>
            <w:tcBorders>
              <w:top w:val="single" w:sz="4" w:space="0" w:color="auto"/>
              <w:left w:val="single" w:sz="4" w:space="0" w:color="auto"/>
              <w:bottom w:val="single" w:sz="4" w:space="0" w:color="auto"/>
              <w:right w:val="single" w:sz="4" w:space="0" w:color="auto"/>
            </w:tcBorders>
            <w:shd w:val="clear" w:color="000000" w:fill="E0E283"/>
            <w:noWrap/>
            <w:vAlign w:val="center"/>
            <w:hideMark/>
          </w:tcPr>
          <w:p w14:paraId="36E158C1"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0.40</w:t>
            </w:r>
          </w:p>
        </w:tc>
      </w:tr>
      <w:tr w:rsidR="008B4C94" w:rsidRPr="00EE6F4E" w14:paraId="36A67322"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484B9948"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2009</w:t>
            </w:r>
          </w:p>
        </w:tc>
        <w:tc>
          <w:tcPr>
            <w:tcW w:w="2240" w:type="dxa"/>
            <w:tcBorders>
              <w:top w:val="single" w:sz="4" w:space="0" w:color="auto"/>
              <w:left w:val="single" w:sz="4" w:space="0" w:color="auto"/>
              <w:bottom w:val="single" w:sz="4" w:space="0" w:color="auto"/>
              <w:right w:val="single" w:sz="4" w:space="0" w:color="auto"/>
            </w:tcBorders>
            <w:shd w:val="clear" w:color="000000" w:fill="FEE983"/>
            <w:noWrap/>
            <w:vAlign w:val="center"/>
            <w:hideMark/>
          </w:tcPr>
          <w:p w14:paraId="1744296A"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0.29</w:t>
            </w:r>
          </w:p>
        </w:tc>
        <w:tc>
          <w:tcPr>
            <w:tcW w:w="2300" w:type="dxa"/>
            <w:tcBorders>
              <w:top w:val="single" w:sz="4" w:space="0" w:color="auto"/>
              <w:left w:val="single" w:sz="4" w:space="0" w:color="auto"/>
              <w:bottom w:val="single" w:sz="4" w:space="0" w:color="auto"/>
              <w:right w:val="single" w:sz="4" w:space="0" w:color="auto"/>
            </w:tcBorders>
            <w:shd w:val="clear" w:color="000000" w:fill="F0E784"/>
            <w:noWrap/>
            <w:vAlign w:val="center"/>
            <w:hideMark/>
          </w:tcPr>
          <w:p w14:paraId="2CF57B36"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0.35</w:t>
            </w:r>
          </w:p>
        </w:tc>
        <w:tc>
          <w:tcPr>
            <w:tcW w:w="2740" w:type="dxa"/>
            <w:tcBorders>
              <w:top w:val="single" w:sz="4" w:space="0" w:color="auto"/>
              <w:left w:val="single" w:sz="4" w:space="0" w:color="auto"/>
              <w:bottom w:val="single" w:sz="4" w:space="0" w:color="auto"/>
              <w:right w:val="single" w:sz="4" w:space="0" w:color="auto"/>
            </w:tcBorders>
            <w:shd w:val="clear" w:color="000000" w:fill="FDD37F"/>
            <w:noWrap/>
            <w:vAlign w:val="center"/>
            <w:hideMark/>
          </w:tcPr>
          <w:p w14:paraId="608486D4"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0.24</w:t>
            </w:r>
          </w:p>
        </w:tc>
        <w:tc>
          <w:tcPr>
            <w:tcW w:w="2100" w:type="dxa"/>
            <w:tcBorders>
              <w:top w:val="single" w:sz="4" w:space="0" w:color="auto"/>
              <w:left w:val="single" w:sz="4" w:space="0" w:color="auto"/>
              <w:bottom w:val="single" w:sz="4" w:space="0" w:color="auto"/>
              <w:right w:val="single" w:sz="4" w:space="0" w:color="auto"/>
            </w:tcBorders>
            <w:shd w:val="clear" w:color="000000" w:fill="E1E383"/>
            <w:noWrap/>
            <w:vAlign w:val="center"/>
            <w:hideMark/>
          </w:tcPr>
          <w:p w14:paraId="5735666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0.40</w:t>
            </w:r>
          </w:p>
        </w:tc>
      </w:tr>
      <w:tr w:rsidR="008B4C94" w:rsidRPr="00EE6F4E" w14:paraId="70686725"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A9BA08A"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lastRenderedPageBreak/>
              <w:t>2010</w:t>
            </w:r>
          </w:p>
        </w:tc>
        <w:tc>
          <w:tcPr>
            <w:tcW w:w="2240" w:type="dxa"/>
            <w:tcBorders>
              <w:top w:val="single" w:sz="4" w:space="0" w:color="auto"/>
              <w:left w:val="single" w:sz="4" w:space="0" w:color="auto"/>
              <w:bottom w:val="single" w:sz="4" w:space="0" w:color="auto"/>
              <w:right w:val="single" w:sz="4" w:space="0" w:color="auto"/>
            </w:tcBorders>
            <w:shd w:val="clear" w:color="000000" w:fill="FDEB84"/>
            <w:noWrap/>
            <w:vAlign w:val="center"/>
            <w:hideMark/>
          </w:tcPr>
          <w:p w14:paraId="2F6AA906"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0.30</w:t>
            </w:r>
          </w:p>
        </w:tc>
        <w:tc>
          <w:tcPr>
            <w:tcW w:w="2300" w:type="dxa"/>
            <w:tcBorders>
              <w:top w:val="single" w:sz="4" w:space="0" w:color="auto"/>
              <w:left w:val="single" w:sz="4" w:space="0" w:color="auto"/>
              <w:bottom w:val="single" w:sz="4" w:space="0" w:color="auto"/>
              <w:right w:val="single" w:sz="4" w:space="0" w:color="auto"/>
            </w:tcBorders>
            <w:shd w:val="clear" w:color="000000" w:fill="E3E383"/>
            <w:noWrap/>
            <w:vAlign w:val="center"/>
            <w:hideMark/>
          </w:tcPr>
          <w:p w14:paraId="29E30B52"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0.39</w:t>
            </w:r>
          </w:p>
        </w:tc>
        <w:tc>
          <w:tcPr>
            <w:tcW w:w="2740" w:type="dxa"/>
            <w:tcBorders>
              <w:top w:val="single" w:sz="4" w:space="0" w:color="auto"/>
              <w:left w:val="single" w:sz="4" w:space="0" w:color="auto"/>
              <w:bottom w:val="single" w:sz="4" w:space="0" w:color="auto"/>
              <w:right w:val="single" w:sz="4" w:space="0" w:color="auto"/>
            </w:tcBorders>
            <w:shd w:val="clear" w:color="000000" w:fill="FEE182"/>
            <w:noWrap/>
            <w:vAlign w:val="center"/>
            <w:hideMark/>
          </w:tcPr>
          <w:p w14:paraId="06360EDA"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0.27</w:t>
            </w:r>
          </w:p>
        </w:tc>
        <w:tc>
          <w:tcPr>
            <w:tcW w:w="2100" w:type="dxa"/>
            <w:tcBorders>
              <w:top w:val="single" w:sz="4" w:space="0" w:color="auto"/>
              <w:left w:val="single" w:sz="4" w:space="0" w:color="auto"/>
              <w:bottom w:val="single" w:sz="4" w:space="0" w:color="auto"/>
              <w:right w:val="single" w:sz="4" w:space="0" w:color="auto"/>
            </w:tcBorders>
            <w:shd w:val="clear" w:color="000000" w:fill="F8E984"/>
            <w:noWrap/>
            <w:vAlign w:val="center"/>
            <w:hideMark/>
          </w:tcPr>
          <w:p w14:paraId="62E46E4D"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0.32</w:t>
            </w:r>
          </w:p>
        </w:tc>
      </w:tr>
      <w:tr w:rsidR="008B4C94" w:rsidRPr="00EE6F4E" w14:paraId="6FC6B940"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7049FB36"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2011</w:t>
            </w:r>
          </w:p>
        </w:tc>
        <w:tc>
          <w:tcPr>
            <w:tcW w:w="2240" w:type="dxa"/>
            <w:tcBorders>
              <w:top w:val="single" w:sz="4" w:space="0" w:color="auto"/>
              <w:left w:val="single" w:sz="4" w:space="0" w:color="auto"/>
              <w:bottom w:val="single" w:sz="4" w:space="0" w:color="auto"/>
              <w:right w:val="single" w:sz="4" w:space="0" w:color="auto"/>
            </w:tcBorders>
            <w:shd w:val="clear" w:color="000000" w:fill="F5E884"/>
            <w:noWrap/>
            <w:vAlign w:val="center"/>
            <w:hideMark/>
          </w:tcPr>
          <w:p w14:paraId="613741B9"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0.33</w:t>
            </w:r>
          </w:p>
        </w:tc>
        <w:tc>
          <w:tcPr>
            <w:tcW w:w="2300" w:type="dxa"/>
            <w:tcBorders>
              <w:top w:val="single" w:sz="4" w:space="0" w:color="auto"/>
              <w:left w:val="single" w:sz="4" w:space="0" w:color="auto"/>
              <w:bottom w:val="single" w:sz="4" w:space="0" w:color="auto"/>
              <w:right w:val="single" w:sz="4" w:space="0" w:color="auto"/>
            </w:tcBorders>
            <w:shd w:val="clear" w:color="000000" w:fill="E3E383"/>
            <w:noWrap/>
            <w:vAlign w:val="center"/>
            <w:hideMark/>
          </w:tcPr>
          <w:p w14:paraId="1FE140D5"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0.39</w:t>
            </w:r>
          </w:p>
        </w:tc>
        <w:tc>
          <w:tcPr>
            <w:tcW w:w="2740" w:type="dxa"/>
            <w:tcBorders>
              <w:top w:val="single" w:sz="4" w:space="0" w:color="auto"/>
              <w:left w:val="single" w:sz="4" w:space="0" w:color="auto"/>
              <w:bottom w:val="single" w:sz="4" w:space="0" w:color="auto"/>
              <w:right w:val="single" w:sz="4" w:space="0" w:color="auto"/>
            </w:tcBorders>
            <w:shd w:val="clear" w:color="000000" w:fill="FEE683"/>
            <w:noWrap/>
            <w:vAlign w:val="center"/>
            <w:hideMark/>
          </w:tcPr>
          <w:p w14:paraId="1F80F111"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0.28</w:t>
            </w:r>
          </w:p>
        </w:tc>
        <w:tc>
          <w:tcPr>
            <w:tcW w:w="2100" w:type="dxa"/>
            <w:tcBorders>
              <w:top w:val="single" w:sz="4" w:space="0" w:color="auto"/>
              <w:left w:val="single" w:sz="4" w:space="0" w:color="auto"/>
              <w:bottom w:val="single" w:sz="4" w:space="0" w:color="auto"/>
              <w:right w:val="single" w:sz="4" w:space="0" w:color="auto"/>
            </w:tcBorders>
            <w:shd w:val="clear" w:color="000000" w:fill="E9E583"/>
            <w:noWrap/>
            <w:vAlign w:val="center"/>
            <w:hideMark/>
          </w:tcPr>
          <w:p w14:paraId="30ACC9CE"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0.37</w:t>
            </w:r>
          </w:p>
        </w:tc>
      </w:tr>
      <w:tr w:rsidR="008B4C94" w:rsidRPr="00EE6F4E" w14:paraId="20148C45"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35BDCF27"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2012</w:t>
            </w:r>
          </w:p>
        </w:tc>
        <w:tc>
          <w:tcPr>
            <w:tcW w:w="2240" w:type="dxa"/>
            <w:tcBorders>
              <w:top w:val="single" w:sz="4" w:space="0" w:color="auto"/>
              <w:left w:val="single" w:sz="4" w:space="0" w:color="auto"/>
              <w:bottom w:val="single" w:sz="4" w:space="0" w:color="auto"/>
              <w:right w:val="single" w:sz="4" w:space="0" w:color="auto"/>
            </w:tcBorders>
            <w:shd w:val="clear" w:color="000000" w:fill="FEE081"/>
            <w:noWrap/>
            <w:vAlign w:val="center"/>
            <w:hideMark/>
          </w:tcPr>
          <w:p w14:paraId="4DC0CB3B"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0.27</w:t>
            </w:r>
          </w:p>
        </w:tc>
        <w:tc>
          <w:tcPr>
            <w:tcW w:w="2300" w:type="dxa"/>
            <w:tcBorders>
              <w:top w:val="single" w:sz="4" w:space="0" w:color="auto"/>
              <w:left w:val="single" w:sz="4" w:space="0" w:color="auto"/>
              <w:bottom w:val="single" w:sz="4" w:space="0" w:color="auto"/>
              <w:right w:val="single" w:sz="4" w:space="0" w:color="auto"/>
            </w:tcBorders>
            <w:shd w:val="clear" w:color="000000" w:fill="E8E583"/>
            <w:noWrap/>
            <w:vAlign w:val="center"/>
            <w:hideMark/>
          </w:tcPr>
          <w:p w14:paraId="78417BE2"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0.37</w:t>
            </w:r>
          </w:p>
        </w:tc>
        <w:tc>
          <w:tcPr>
            <w:tcW w:w="2740" w:type="dxa"/>
            <w:tcBorders>
              <w:top w:val="single" w:sz="4" w:space="0" w:color="auto"/>
              <w:left w:val="single" w:sz="4" w:space="0" w:color="auto"/>
              <w:bottom w:val="single" w:sz="4" w:space="0" w:color="auto"/>
              <w:right w:val="single" w:sz="4" w:space="0" w:color="auto"/>
            </w:tcBorders>
            <w:shd w:val="clear" w:color="000000" w:fill="FDD780"/>
            <w:noWrap/>
            <w:vAlign w:val="center"/>
            <w:hideMark/>
          </w:tcPr>
          <w:p w14:paraId="033A8B0F"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0.25</w:t>
            </w:r>
          </w:p>
        </w:tc>
        <w:tc>
          <w:tcPr>
            <w:tcW w:w="2100" w:type="dxa"/>
            <w:tcBorders>
              <w:top w:val="single" w:sz="4" w:space="0" w:color="auto"/>
              <w:left w:val="single" w:sz="4" w:space="0" w:color="auto"/>
              <w:bottom w:val="single" w:sz="4" w:space="0" w:color="auto"/>
              <w:right w:val="single" w:sz="4" w:space="0" w:color="auto"/>
            </w:tcBorders>
            <w:shd w:val="clear" w:color="000000" w:fill="DDE182"/>
            <w:noWrap/>
            <w:vAlign w:val="center"/>
            <w:hideMark/>
          </w:tcPr>
          <w:p w14:paraId="77F57EF6"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0.41</w:t>
            </w:r>
          </w:p>
        </w:tc>
      </w:tr>
      <w:tr w:rsidR="008B4C94" w:rsidRPr="00EE6F4E" w14:paraId="7A6AB0B9"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4F560902"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2013</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2A478AE"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6AB674B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F9816F"/>
            <w:noWrap/>
            <w:vAlign w:val="center"/>
            <w:hideMark/>
          </w:tcPr>
          <w:p w14:paraId="74A87196"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0.05</w:t>
            </w:r>
          </w:p>
        </w:tc>
        <w:tc>
          <w:tcPr>
            <w:tcW w:w="21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D1A70EA"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8B4C94" w:rsidRPr="00EE6F4E" w14:paraId="4F7BCA51"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6A0AA2D0"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2014</w:t>
            </w:r>
          </w:p>
        </w:tc>
        <w:tc>
          <w:tcPr>
            <w:tcW w:w="2240" w:type="dxa"/>
            <w:tcBorders>
              <w:top w:val="single" w:sz="4" w:space="0" w:color="auto"/>
              <w:left w:val="single" w:sz="4" w:space="0" w:color="auto"/>
              <w:bottom w:val="single" w:sz="4" w:space="0" w:color="auto"/>
              <w:right w:val="single" w:sz="4" w:space="0" w:color="auto"/>
            </w:tcBorders>
            <w:shd w:val="clear" w:color="000000" w:fill="CDDD82"/>
            <w:noWrap/>
            <w:vAlign w:val="center"/>
            <w:hideMark/>
          </w:tcPr>
          <w:p w14:paraId="3514FE46"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0.47</w:t>
            </w:r>
          </w:p>
        </w:tc>
        <w:tc>
          <w:tcPr>
            <w:tcW w:w="2300" w:type="dxa"/>
            <w:tcBorders>
              <w:top w:val="single" w:sz="4" w:space="0" w:color="auto"/>
              <w:left w:val="single" w:sz="4" w:space="0" w:color="auto"/>
              <w:bottom w:val="single" w:sz="4" w:space="0" w:color="auto"/>
              <w:right w:val="single" w:sz="4" w:space="0" w:color="auto"/>
            </w:tcBorders>
            <w:shd w:val="clear" w:color="000000" w:fill="83C87D"/>
            <w:noWrap/>
            <w:vAlign w:val="center"/>
            <w:hideMark/>
          </w:tcPr>
          <w:p w14:paraId="016B8ED0"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0.73</w:t>
            </w:r>
          </w:p>
        </w:tc>
        <w:tc>
          <w:tcPr>
            <w:tcW w:w="27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16526AB3"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100" w:type="dxa"/>
            <w:tcBorders>
              <w:top w:val="single" w:sz="4" w:space="0" w:color="auto"/>
              <w:left w:val="single" w:sz="4" w:space="0" w:color="auto"/>
              <w:bottom w:val="single" w:sz="4" w:space="0" w:color="auto"/>
              <w:right w:val="single" w:sz="4" w:space="0" w:color="auto"/>
            </w:tcBorders>
            <w:shd w:val="clear" w:color="000000" w:fill="ADD480"/>
            <w:noWrap/>
            <w:vAlign w:val="center"/>
            <w:hideMark/>
          </w:tcPr>
          <w:p w14:paraId="72D42426"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0.58</w:t>
            </w:r>
          </w:p>
        </w:tc>
      </w:tr>
      <w:tr w:rsidR="008B4C94" w:rsidRPr="00EE6F4E" w14:paraId="08978BAF"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5B0D5513"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2015</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298596F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04FD4C23"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FBAC78"/>
            <w:noWrap/>
            <w:vAlign w:val="center"/>
            <w:hideMark/>
          </w:tcPr>
          <w:p w14:paraId="045E9C5B"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0.15</w:t>
            </w:r>
          </w:p>
        </w:tc>
        <w:tc>
          <w:tcPr>
            <w:tcW w:w="21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CA10708"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8B4C94" w:rsidRPr="00EE6F4E" w14:paraId="501A3108"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38D680E1"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2016</w:t>
            </w:r>
          </w:p>
        </w:tc>
        <w:tc>
          <w:tcPr>
            <w:tcW w:w="2240" w:type="dxa"/>
            <w:tcBorders>
              <w:top w:val="single" w:sz="4" w:space="0" w:color="auto"/>
              <w:left w:val="single" w:sz="4" w:space="0" w:color="auto"/>
              <w:bottom w:val="single" w:sz="4" w:space="0" w:color="auto"/>
              <w:right w:val="single" w:sz="4" w:space="0" w:color="auto"/>
            </w:tcBorders>
            <w:shd w:val="clear" w:color="000000" w:fill="FA9C74"/>
            <w:noWrap/>
            <w:vAlign w:val="center"/>
            <w:hideMark/>
          </w:tcPr>
          <w:p w14:paraId="181B1C72"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0.12</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631EF9AF"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8ECB7E"/>
            <w:noWrap/>
            <w:vAlign w:val="center"/>
            <w:hideMark/>
          </w:tcPr>
          <w:p w14:paraId="365D9839"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0.69</w:t>
            </w:r>
          </w:p>
        </w:tc>
        <w:tc>
          <w:tcPr>
            <w:tcW w:w="2100" w:type="dxa"/>
            <w:tcBorders>
              <w:top w:val="single" w:sz="4" w:space="0" w:color="auto"/>
              <w:left w:val="single" w:sz="4" w:space="0" w:color="auto"/>
              <w:bottom w:val="single" w:sz="4" w:space="0" w:color="auto"/>
              <w:right w:val="single" w:sz="4" w:space="0" w:color="auto"/>
            </w:tcBorders>
            <w:shd w:val="clear" w:color="000000" w:fill="FCC17C"/>
            <w:noWrap/>
            <w:vAlign w:val="center"/>
            <w:hideMark/>
          </w:tcPr>
          <w:p w14:paraId="3FA5A0E4"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0.20</w:t>
            </w:r>
          </w:p>
        </w:tc>
      </w:tr>
      <w:tr w:rsidR="008B4C94" w:rsidRPr="00EE6F4E" w14:paraId="6162666E"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17D7D075"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2017</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4D64D618"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0763C66"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B8D780"/>
            <w:noWrap/>
            <w:vAlign w:val="center"/>
            <w:hideMark/>
          </w:tcPr>
          <w:p w14:paraId="42F7DB30"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0.54</w:t>
            </w:r>
          </w:p>
        </w:tc>
        <w:tc>
          <w:tcPr>
            <w:tcW w:w="21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9A09AE0"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r>
      <w:tr w:rsidR="008B4C94" w:rsidRPr="00EE6F4E" w14:paraId="7EB6259D"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170068C0"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2018</w:t>
            </w:r>
          </w:p>
        </w:tc>
        <w:tc>
          <w:tcPr>
            <w:tcW w:w="2240" w:type="dxa"/>
            <w:tcBorders>
              <w:top w:val="single" w:sz="4" w:space="0" w:color="auto"/>
              <w:left w:val="single" w:sz="4" w:space="0" w:color="auto"/>
              <w:bottom w:val="single" w:sz="4" w:space="0" w:color="auto"/>
              <w:right w:val="single" w:sz="4" w:space="0" w:color="auto"/>
            </w:tcBorders>
            <w:shd w:val="clear" w:color="000000" w:fill="ACD380"/>
            <w:noWrap/>
            <w:vAlign w:val="center"/>
            <w:hideMark/>
          </w:tcPr>
          <w:p w14:paraId="05BF389D"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0.59</w:t>
            </w:r>
          </w:p>
        </w:tc>
        <w:tc>
          <w:tcPr>
            <w:tcW w:w="2300" w:type="dxa"/>
            <w:tcBorders>
              <w:top w:val="single" w:sz="4" w:space="0" w:color="auto"/>
              <w:left w:val="single" w:sz="4" w:space="0" w:color="auto"/>
              <w:bottom w:val="single" w:sz="4" w:space="0" w:color="auto"/>
              <w:right w:val="single" w:sz="4" w:space="0" w:color="auto"/>
            </w:tcBorders>
            <w:shd w:val="clear" w:color="000000" w:fill="A0D07F"/>
            <w:noWrap/>
            <w:vAlign w:val="center"/>
            <w:hideMark/>
          </w:tcPr>
          <w:p w14:paraId="13EB8E9E"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0.63</w:t>
            </w:r>
          </w:p>
        </w:tc>
        <w:tc>
          <w:tcPr>
            <w:tcW w:w="2740" w:type="dxa"/>
            <w:tcBorders>
              <w:top w:val="single" w:sz="4" w:space="0" w:color="auto"/>
              <w:left w:val="single" w:sz="4" w:space="0" w:color="auto"/>
              <w:bottom w:val="single" w:sz="4" w:space="0" w:color="auto"/>
              <w:right w:val="single" w:sz="4" w:space="0" w:color="auto"/>
            </w:tcBorders>
            <w:shd w:val="clear" w:color="000000" w:fill="78C57D"/>
            <w:noWrap/>
            <w:vAlign w:val="center"/>
            <w:hideMark/>
          </w:tcPr>
          <w:p w14:paraId="4ECB03FC"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0.77</w:t>
            </w:r>
          </w:p>
        </w:tc>
        <w:tc>
          <w:tcPr>
            <w:tcW w:w="2100" w:type="dxa"/>
            <w:tcBorders>
              <w:top w:val="single" w:sz="4" w:space="0" w:color="auto"/>
              <w:left w:val="single" w:sz="4" w:space="0" w:color="auto"/>
              <w:bottom w:val="single" w:sz="4" w:space="0" w:color="auto"/>
              <w:right w:val="single" w:sz="4" w:space="0" w:color="auto"/>
            </w:tcBorders>
            <w:shd w:val="clear" w:color="000000" w:fill="67C07C"/>
            <w:noWrap/>
            <w:vAlign w:val="center"/>
            <w:hideMark/>
          </w:tcPr>
          <w:p w14:paraId="5D64CA6A"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0.83</w:t>
            </w:r>
          </w:p>
        </w:tc>
      </w:tr>
      <w:tr w:rsidR="008B4C94" w:rsidRPr="00EE6F4E" w14:paraId="3A8BC912"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2CCDE176"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2019</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14F3538"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06B99EE2"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95CD7E"/>
            <w:noWrap/>
            <w:vAlign w:val="center"/>
            <w:hideMark/>
          </w:tcPr>
          <w:p w14:paraId="1A10E932"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0.66</w:t>
            </w:r>
          </w:p>
        </w:tc>
        <w:tc>
          <w:tcPr>
            <w:tcW w:w="2100" w:type="dxa"/>
            <w:tcBorders>
              <w:top w:val="single" w:sz="4" w:space="0" w:color="auto"/>
              <w:left w:val="single" w:sz="4" w:space="0" w:color="auto"/>
              <w:bottom w:val="single" w:sz="4" w:space="0" w:color="auto"/>
              <w:right w:val="single" w:sz="4" w:space="0" w:color="auto"/>
            </w:tcBorders>
            <w:shd w:val="clear" w:color="000000" w:fill="D3DF82"/>
            <w:noWrap/>
            <w:vAlign w:val="center"/>
            <w:hideMark/>
          </w:tcPr>
          <w:p w14:paraId="15CED345"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0.45</w:t>
            </w:r>
          </w:p>
        </w:tc>
      </w:tr>
      <w:tr w:rsidR="008B4C94" w:rsidRPr="00EE6F4E" w14:paraId="5C631652"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1FAD8A90"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2020</w:t>
            </w:r>
          </w:p>
        </w:tc>
        <w:tc>
          <w:tcPr>
            <w:tcW w:w="2240" w:type="dxa"/>
            <w:tcBorders>
              <w:top w:val="single" w:sz="4" w:space="0" w:color="auto"/>
              <w:left w:val="single" w:sz="4" w:space="0" w:color="auto"/>
              <w:bottom w:val="single" w:sz="4" w:space="0" w:color="auto"/>
              <w:right w:val="single" w:sz="4" w:space="0" w:color="auto"/>
            </w:tcBorders>
            <w:shd w:val="clear" w:color="000000" w:fill="81C77D"/>
            <w:noWrap/>
            <w:vAlign w:val="center"/>
            <w:hideMark/>
          </w:tcPr>
          <w:p w14:paraId="5FA973AD"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0.74</w:t>
            </w:r>
          </w:p>
        </w:tc>
        <w:tc>
          <w:tcPr>
            <w:tcW w:w="2300" w:type="dxa"/>
            <w:tcBorders>
              <w:top w:val="single" w:sz="4" w:space="0" w:color="auto"/>
              <w:left w:val="single" w:sz="4" w:space="0" w:color="auto"/>
              <w:bottom w:val="single" w:sz="4" w:space="0" w:color="auto"/>
              <w:right w:val="single" w:sz="4" w:space="0" w:color="auto"/>
            </w:tcBorders>
            <w:shd w:val="clear" w:color="000000" w:fill="ADD480"/>
            <w:noWrap/>
            <w:vAlign w:val="center"/>
            <w:hideMark/>
          </w:tcPr>
          <w:p w14:paraId="02C7AAFD"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0.58</w:t>
            </w:r>
          </w:p>
        </w:tc>
        <w:tc>
          <w:tcPr>
            <w:tcW w:w="2740" w:type="dxa"/>
            <w:tcBorders>
              <w:top w:val="single" w:sz="4" w:space="0" w:color="auto"/>
              <w:left w:val="single" w:sz="4" w:space="0" w:color="auto"/>
              <w:bottom w:val="single" w:sz="4" w:space="0" w:color="auto"/>
              <w:right w:val="single" w:sz="4" w:space="0" w:color="auto"/>
            </w:tcBorders>
            <w:shd w:val="clear" w:color="000000" w:fill="7EC67D"/>
            <w:noWrap/>
            <w:vAlign w:val="center"/>
            <w:hideMark/>
          </w:tcPr>
          <w:p w14:paraId="40F7580B"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0.75</w:t>
            </w:r>
          </w:p>
        </w:tc>
        <w:tc>
          <w:tcPr>
            <w:tcW w:w="2100" w:type="dxa"/>
            <w:tcBorders>
              <w:top w:val="single" w:sz="4" w:space="0" w:color="auto"/>
              <w:left w:val="single" w:sz="4" w:space="0" w:color="auto"/>
              <w:bottom w:val="single" w:sz="4" w:space="0" w:color="auto"/>
              <w:right w:val="single" w:sz="4" w:space="0" w:color="auto"/>
            </w:tcBorders>
            <w:shd w:val="clear" w:color="000000" w:fill="6AC07C"/>
            <w:noWrap/>
            <w:vAlign w:val="center"/>
            <w:hideMark/>
          </w:tcPr>
          <w:p w14:paraId="6BF97750"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0.82</w:t>
            </w:r>
          </w:p>
        </w:tc>
      </w:tr>
      <w:tr w:rsidR="008B4C94" w:rsidRPr="00EE6F4E" w14:paraId="7FA346BA"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605C351C"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2021</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4C6E4D89"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EA15CDB"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8BCA7E"/>
            <w:noWrap/>
            <w:vAlign w:val="center"/>
            <w:hideMark/>
          </w:tcPr>
          <w:p w14:paraId="4F74207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0.70</w:t>
            </w:r>
          </w:p>
        </w:tc>
        <w:tc>
          <w:tcPr>
            <w:tcW w:w="2100" w:type="dxa"/>
            <w:tcBorders>
              <w:top w:val="single" w:sz="4" w:space="0" w:color="auto"/>
              <w:left w:val="single" w:sz="4" w:space="0" w:color="auto"/>
              <w:bottom w:val="single" w:sz="4" w:space="0" w:color="auto"/>
              <w:right w:val="single" w:sz="4" w:space="0" w:color="auto"/>
            </w:tcBorders>
            <w:shd w:val="clear" w:color="000000" w:fill="A3D17F"/>
            <w:noWrap/>
            <w:vAlign w:val="center"/>
            <w:hideMark/>
          </w:tcPr>
          <w:p w14:paraId="350E4614"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0.62</w:t>
            </w:r>
          </w:p>
        </w:tc>
      </w:tr>
      <w:tr w:rsidR="008B4C94" w:rsidRPr="00EE6F4E" w14:paraId="60CB007A"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35DD4921"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2022</w:t>
            </w:r>
          </w:p>
        </w:tc>
        <w:tc>
          <w:tcPr>
            <w:tcW w:w="2240" w:type="dxa"/>
            <w:tcBorders>
              <w:top w:val="single" w:sz="4" w:space="0" w:color="auto"/>
              <w:left w:val="single" w:sz="4" w:space="0" w:color="auto"/>
              <w:bottom w:val="single" w:sz="4" w:space="0" w:color="auto"/>
              <w:right w:val="single" w:sz="4" w:space="0" w:color="auto"/>
            </w:tcBorders>
            <w:shd w:val="clear" w:color="000000" w:fill="98CE7F"/>
            <w:noWrap/>
            <w:vAlign w:val="center"/>
            <w:hideMark/>
          </w:tcPr>
          <w:p w14:paraId="054B3EB3"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0.65</w:t>
            </w:r>
          </w:p>
        </w:tc>
        <w:tc>
          <w:tcPr>
            <w:tcW w:w="2300" w:type="dxa"/>
            <w:tcBorders>
              <w:top w:val="single" w:sz="4" w:space="0" w:color="auto"/>
              <w:left w:val="single" w:sz="4" w:space="0" w:color="auto"/>
              <w:bottom w:val="single" w:sz="4" w:space="0" w:color="auto"/>
              <w:right w:val="single" w:sz="4" w:space="0" w:color="auto"/>
            </w:tcBorders>
            <w:shd w:val="clear" w:color="000000" w:fill="CCDD82"/>
            <w:noWrap/>
            <w:vAlign w:val="center"/>
            <w:hideMark/>
          </w:tcPr>
          <w:p w14:paraId="32B105FC"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0.47</w:t>
            </w:r>
          </w:p>
        </w:tc>
        <w:tc>
          <w:tcPr>
            <w:tcW w:w="2740" w:type="dxa"/>
            <w:tcBorders>
              <w:top w:val="single" w:sz="4" w:space="0" w:color="auto"/>
              <w:left w:val="single" w:sz="4" w:space="0" w:color="auto"/>
              <w:bottom w:val="single" w:sz="4" w:space="0" w:color="auto"/>
              <w:right w:val="single" w:sz="4" w:space="0" w:color="auto"/>
            </w:tcBorders>
            <w:shd w:val="clear" w:color="000000" w:fill="8FCB7E"/>
            <w:noWrap/>
            <w:vAlign w:val="center"/>
            <w:hideMark/>
          </w:tcPr>
          <w:p w14:paraId="4C3F6DC9"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0.68</w:t>
            </w:r>
          </w:p>
        </w:tc>
        <w:tc>
          <w:tcPr>
            <w:tcW w:w="2100" w:type="dxa"/>
            <w:tcBorders>
              <w:top w:val="single" w:sz="4" w:space="0" w:color="auto"/>
              <w:left w:val="single" w:sz="4" w:space="0" w:color="auto"/>
              <w:bottom w:val="single" w:sz="4" w:space="0" w:color="auto"/>
              <w:right w:val="single" w:sz="4" w:space="0" w:color="auto"/>
            </w:tcBorders>
            <w:shd w:val="clear" w:color="000000" w:fill="63BE7B"/>
            <w:noWrap/>
            <w:vAlign w:val="center"/>
            <w:hideMark/>
          </w:tcPr>
          <w:p w14:paraId="38639EAC"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0.84</w:t>
            </w:r>
          </w:p>
        </w:tc>
      </w:tr>
      <w:tr w:rsidR="008B4C94" w:rsidRPr="00EE6F4E" w14:paraId="5E263DF4" w14:textId="77777777" w:rsidTr="00BA1CD0">
        <w:trPr>
          <w:trHeight w:val="300"/>
          <w:jc w:val="center"/>
        </w:trPr>
        <w:tc>
          <w:tcPr>
            <w:tcW w:w="1220" w:type="dxa"/>
            <w:tcBorders>
              <w:top w:val="nil"/>
              <w:left w:val="single" w:sz="4" w:space="0" w:color="auto"/>
              <w:bottom w:val="single" w:sz="4" w:space="0" w:color="auto"/>
              <w:right w:val="single" w:sz="4" w:space="0" w:color="auto"/>
            </w:tcBorders>
            <w:noWrap/>
            <w:vAlign w:val="center"/>
            <w:hideMark/>
          </w:tcPr>
          <w:p w14:paraId="66DE39E9" w14:textId="77777777" w:rsidR="008B4C94" w:rsidRPr="00EE6F4E" w:rsidRDefault="008B4C94" w:rsidP="00BA1CD0">
            <w:pPr>
              <w:spacing w:after="0" w:line="240" w:lineRule="auto"/>
              <w:jc w:val="center"/>
              <w:rPr>
                <w:rFonts w:ascii="Times New Roman" w:eastAsia="Times New Roman" w:hAnsi="Times New Roman" w:cs="Times New Roman"/>
                <w:b/>
                <w:bCs/>
                <w:color w:val="000000"/>
              </w:rPr>
            </w:pPr>
            <w:r w:rsidRPr="00EE6F4E">
              <w:rPr>
                <w:rFonts w:ascii="Times New Roman" w:eastAsia="Times New Roman" w:hAnsi="Times New Roman" w:cs="Times New Roman"/>
                <w:b/>
                <w:bCs/>
                <w:color w:val="000000"/>
              </w:rPr>
              <w:t>2023</w:t>
            </w:r>
          </w:p>
        </w:tc>
        <w:tc>
          <w:tcPr>
            <w:tcW w:w="224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6608791"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30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03DC367"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0.00</w:t>
            </w:r>
          </w:p>
        </w:tc>
        <w:tc>
          <w:tcPr>
            <w:tcW w:w="2740" w:type="dxa"/>
            <w:tcBorders>
              <w:top w:val="single" w:sz="4" w:space="0" w:color="auto"/>
              <w:left w:val="single" w:sz="4" w:space="0" w:color="auto"/>
              <w:bottom w:val="single" w:sz="4" w:space="0" w:color="auto"/>
              <w:right w:val="single" w:sz="4" w:space="0" w:color="auto"/>
            </w:tcBorders>
            <w:shd w:val="clear" w:color="000000" w:fill="8DCB7E"/>
            <w:noWrap/>
            <w:vAlign w:val="center"/>
            <w:hideMark/>
          </w:tcPr>
          <w:p w14:paraId="0C7E3ED5"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0.69</w:t>
            </w:r>
          </w:p>
        </w:tc>
        <w:tc>
          <w:tcPr>
            <w:tcW w:w="2100" w:type="dxa"/>
            <w:tcBorders>
              <w:top w:val="single" w:sz="4" w:space="0" w:color="auto"/>
              <w:left w:val="single" w:sz="4" w:space="0" w:color="auto"/>
              <w:bottom w:val="single" w:sz="4" w:space="0" w:color="auto"/>
              <w:right w:val="single" w:sz="4" w:space="0" w:color="auto"/>
            </w:tcBorders>
            <w:shd w:val="clear" w:color="000000" w:fill="D9E182"/>
            <w:noWrap/>
            <w:vAlign w:val="center"/>
            <w:hideMark/>
          </w:tcPr>
          <w:p w14:paraId="623D20F5" w14:textId="77777777" w:rsidR="008B4C94" w:rsidRPr="00EE6F4E" w:rsidRDefault="008B4C94" w:rsidP="00BA1CD0">
            <w:pPr>
              <w:spacing w:after="0" w:line="240" w:lineRule="auto"/>
              <w:jc w:val="center"/>
              <w:rPr>
                <w:rFonts w:ascii="Times New Roman" w:eastAsia="Times New Roman" w:hAnsi="Times New Roman" w:cs="Times New Roman"/>
                <w:color w:val="000000"/>
              </w:rPr>
            </w:pPr>
            <w:r w:rsidRPr="00EE6F4E">
              <w:rPr>
                <w:rFonts w:ascii="Times New Roman" w:eastAsia="Times New Roman" w:hAnsi="Times New Roman" w:cs="Times New Roman"/>
                <w:color w:val="000000"/>
              </w:rPr>
              <w:t>0.43</w:t>
            </w:r>
          </w:p>
        </w:tc>
      </w:tr>
    </w:tbl>
    <w:p w14:paraId="7C23A981" w14:textId="77777777" w:rsidR="008B4C94" w:rsidRPr="00EE6F4E" w:rsidRDefault="008B4C94" w:rsidP="008B4C94">
      <w:pPr>
        <w:spacing w:line="360" w:lineRule="auto"/>
        <w:jc w:val="center"/>
        <w:rPr>
          <w:rFonts w:ascii="Times New Roman" w:eastAsia="Times New Roman" w:hAnsi="Times New Roman"/>
          <w:bCs/>
          <w:lang w:val="bg-BG"/>
        </w:rPr>
      </w:pPr>
      <w:r w:rsidRPr="00EE6F4E">
        <w:rPr>
          <w:rFonts w:ascii="Times New Roman" w:eastAsia="Times New Roman" w:hAnsi="Times New Roman"/>
          <w:bCs/>
          <w:lang w:val="bg-BG"/>
        </w:rPr>
        <w:t>Източник: Собствени изчисления</w:t>
      </w:r>
    </w:p>
    <w:p w14:paraId="418316D1" w14:textId="77777777" w:rsidR="008B4C94" w:rsidRDefault="008B4C94" w:rsidP="008B4C94">
      <w:pPr>
        <w:spacing w:line="360" w:lineRule="auto"/>
        <w:ind w:firstLine="720"/>
        <w:jc w:val="both"/>
        <w:rPr>
          <w:rFonts w:ascii="Times New Roman" w:hAnsi="Times New Roman"/>
          <w:lang w:val="bg-BG"/>
        </w:rPr>
      </w:pPr>
      <w:r w:rsidRPr="000166B0">
        <w:rPr>
          <w:rFonts w:ascii="Times New Roman" w:hAnsi="Times New Roman"/>
          <w:lang w:val="bg-BG"/>
        </w:rPr>
        <w:t xml:space="preserve">Наблюдаваните стойности и динамика на RCA коефициента демонстрират ясно изразени различия между отделните направления, като водеща тенденция се очертава устойчивото превъзходство на капиталоинтензивните и индустриализирани модели на производство спрямо трудоемките и екстензивни форми на стопанисване. </w:t>
      </w:r>
    </w:p>
    <w:p w14:paraId="5D0F1C34" w14:textId="77777777" w:rsidR="008B4C94" w:rsidRPr="00275250" w:rsidRDefault="008B4C94" w:rsidP="008B4C94">
      <w:pPr>
        <w:spacing w:line="360" w:lineRule="auto"/>
        <w:ind w:firstLine="720"/>
        <w:jc w:val="center"/>
        <w:rPr>
          <w:rFonts w:ascii="Times New Roman" w:hAnsi="Times New Roman"/>
          <w:lang w:val="bg-BG"/>
        </w:rPr>
      </w:pPr>
      <w:bookmarkStart w:id="16" w:name="_Toc228919001"/>
      <w:r w:rsidRPr="00275250">
        <w:rPr>
          <w:rFonts w:ascii="Times New Roman" w:hAnsi="Times New Roman"/>
          <w:lang w:val="bg-BG"/>
        </w:rPr>
        <w:t xml:space="preserve">Фигура </w:t>
      </w:r>
      <w:r w:rsidRPr="00275250">
        <w:rPr>
          <w:rFonts w:ascii="Times New Roman" w:hAnsi="Times New Roman"/>
          <w:lang w:val="bg-BG"/>
        </w:rPr>
        <w:fldChar w:fldCharType="begin"/>
      </w:r>
      <w:r w:rsidRPr="00275250">
        <w:rPr>
          <w:rFonts w:ascii="Times New Roman" w:hAnsi="Times New Roman"/>
          <w:lang w:val="bg-BG"/>
        </w:rPr>
        <w:instrText xml:space="preserve"> SEQ Фигура \* ARABIC </w:instrText>
      </w:r>
      <w:r w:rsidRPr="00275250">
        <w:rPr>
          <w:rFonts w:ascii="Times New Roman" w:hAnsi="Times New Roman"/>
          <w:lang w:val="bg-BG"/>
        </w:rPr>
        <w:fldChar w:fldCharType="separate"/>
      </w:r>
      <w:r>
        <w:rPr>
          <w:rFonts w:ascii="Times New Roman" w:hAnsi="Times New Roman"/>
          <w:noProof/>
          <w:lang w:val="bg-BG"/>
        </w:rPr>
        <w:t>11</w:t>
      </w:r>
      <w:r w:rsidRPr="00275250">
        <w:rPr>
          <w:rFonts w:ascii="Times New Roman" w:hAnsi="Times New Roman"/>
          <w:lang w:val="bg-BG"/>
        </w:rPr>
        <w:fldChar w:fldCharType="end"/>
      </w:r>
      <w:r w:rsidRPr="00275250">
        <w:rPr>
          <w:rFonts w:ascii="Times New Roman" w:hAnsi="Times New Roman"/>
          <w:lang w:val="bg-BG"/>
        </w:rPr>
        <w:t xml:space="preserve"> Динамика на икономическата ефективност на земеделските стопанства по производствена специализация, измерена чрез ОСО икономически коефициент (2007–2023 г.)</w:t>
      </w:r>
      <w:bookmarkEnd w:id="16"/>
    </w:p>
    <w:p w14:paraId="27B9CD49" w14:textId="77777777" w:rsidR="008B4C94" w:rsidRPr="00EE6F4E" w:rsidRDefault="008B4C94" w:rsidP="008B4C94">
      <w:pPr>
        <w:spacing w:line="360" w:lineRule="auto"/>
        <w:ind w:firstLine="720"/>
        <w:jc w:val="center"/>
        <w:rPr>
          <w:rFonts w:ascii="Times New Roman" w:hAnsi="Times New Roman"/>
          <w:lang w:val="bg-BG"/>
        </w:rPr>
      </w:pPr>
      <w:r w:rsidRPr="00EE6F4E">
        <w:rPr>
          <w:noProof/>
        </w:rPr>
        <w:drawing>
          <wp:inline distT="0" distB="0" distL="0" distR="0" wp14:anchorId="47B177BA" wp14:editId="7E4AFDEC">
            <wp:extent cx="5943600" cy="2727960"/>
            <wp:effectExtent l="0" t="0" r="0" b="1524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3BA6A0C" w14:textId="71A17341" w:rsidR="008B4C94" w:rsidRPr="008B4C94" w:rsidRDefault="008B4C94" w:rsidP="008B4C94">
      <w:pPr>
        <w:spacing w:line="360" w:lineRule="auto"/>
        <w:ind w:firstLine="720"/>
        <w:jc w:val="center"/>
        <w:rPr>
          <w:rFonts w:ascii="Times New Roman" w:hAnsi="Times New Roman"/>
          <w:lang w:val="bg-BG"/>
        </w:rPr>
      </w:pPr>
      <w:r w:rsidRPr="00EE6F4E">
        <w:rPr>
          <w:rFonts w:ascii="Times New Roman" w:hAnsi="Times New Roman"/>
          <w:lang w:val="bg-BG"/>
        </w:rPr>
        <w:lastRenderedPageBreak/>
        <w:t>Източник:Собствени изчисления</w:t>
      </w:r>
    </w:p>
    <w:p w14:paraId="790D15F4" w14:textId="77777777" w:rsidR="008B4C94" w:rsidRDefault="00561F60" w:rsidP="008B4C94">
      <w:pPr>
        <w:spacing w:line="360" w:lineRule="auto"/>
        <w:ind w:firstLine="720"/>
        <w:jc w:val="both"/>
        <w:rPr>
          <w:rFonts w:ascii="Times New Roman" w:hAnsi="Times New Roman" w:cs="Times New Roman"/>
          <w:lang w:val="bg-BG"/>
        </w:rPr>
      </w:pPr>
      <w:r w:rsidRPr="00561F60">
        <w:rPr>
          <w:rFonts w:ascii="Times New Roman" w:hAnsi="Times New Roman" w:cs="Times New Roman"/>
          <w:lang w:val="bg-BG"/>
        </w:rPr>
        <w:t xml:space="preserve">Екологичната ефективност също показва различия, но с по-бавна динамика. Стопанствата, които прилагат устойчиви практики като покривни култури, минимална обработка на почвата и интегрирано управление на вредителите, постигат по-високи стойности на екологичния коефициент. </w:t>
      </w:r>
    </w:p>
    <w:p w14:paraId="1F43916A" w14:textId="77777777" w:rsidR="008B4C94" w:rsidRPr="00275250" w:rsidRDefault="008B4C94" w:rsidP="008B4C94">
      <w:pPr>
        <w:spacing w:line="360" w:lineRule="auto"/>
        <w:ind w:firstLine="720"/>
        <w:jc w:val="center"/>
        <w:rPr>
          <w:rFonts w:ascii="Times New Roman" w:hAnsi="Times New Roman"/>
          <w:lang w:val="bg-BG"/>
        </w:rPr>
      </w:pPr>
      <w:bookmarkStart w:id="17" w:name="_Toc228919002"/>
      <w:r w:rsidRPr="00275250">
        <w:rPr>
          <w:rFonts w:ascii="Times New Roman" w:hAnsi="Times New Roman"/>
          <w:lang w:val="bg-BG"/>
        </w:rPr>
        <w:t xml:space="preserve">Фигура </w:t>
      </w:r>
      <w:r w:rsidRPr="00275250">
        <w:rPr>
          <w:rFonts w:ascii="Times New Roman" w:hAnsi="Times New Roman"/>
          <w:lang w:val="bg-BG"/>
        </w:rPr>
        <w:fldChar w:fldCharType="begin"/>
      </w:r>
      <w:r w:rsidRPr="00275250">
        <w:rPr>
          <w:rFonts w:ascii="Times New Roman" w:hAnsi="Times New Roman"/>
          <w:lang w:val="bg-BG"/>
        </w:rPr>
        <w:instrText xml:space="preserve"> SEQ Фигура \* ARABIC </w:instrText>
      </w:r>
      <w:r w:rsidRPr="00275250">
        <w:rPr>
          <w:rFonts w:ascii="Times New Roman" w:hAnsi="Times New Roman"/>
          <w:lang w:val="bg-BG"/>
        </w:rPr>
        <w:fldChar w:fldCharType="separate"/>
      </w:r>
      <w:r>
        <w:rPr>
          <w:rFonts w:ascii="Times New Roman" w:hAnsi="Times New Roman"/>
          <w:noProof/>
          <w:lang w:val="bg-BG"/>
        </w:rPr>
        <w:t>12</w:t>
      </w:r>
      <w:r w:rsidRPr="00275250">
        <w:rPr>
          <w:rFonts w:ascii="Times New Roman" w:hAnsi="Times New Roman"/>
          <w:lang w:val="bg-BG"/>
        </w:rPr>
        <w:fldChar w:fldCharType="end"/>
      </w:r>
      <w:r w:rsidRPr="00275250">
        <w:rPr>
          <w:rFonts w:ascii="Times New Roman" w:hAnsi="Times New Roman"/>
          <w:lang w:val="bg-BG"/>
        </w:rPr>
        <w:t xml:space="preserve"> Динамика на екологичната ефективност на земеделските стопанства според производствената специализация (2007–2023 г.)</w:t>
      </w:r>
      <w:bookmarkEnd w:id="17"/>
    </w:p>
    <w:p w14:paraId="7E2E5869" w14:textId="77777777" w:rsidR="008B4C94" w:rsidRPr="00EE6F4E" w:rsidRDefault="008B4C94" w:rsidP="008B4C94">
      <w:pPr>
        <w:spacing w:line="360" w:lineRule="auto"/>
        <w:ind w:firstLine="720"/>
        <w:jc w:val="center"/>
        <w:rPr>
          <w:rFonts w:ascii="Times New Roman" w:hAnsi="Times New Roman"/>
          <w:lang w:val="bg-BG"/>
        </w:rPr>
      </w:pPr>
      <w:r w:rsidRPr="00EE6F4E">
        <w:rPr>
          <w:noProof/>
          <w:sz w:val="20"/>
        </w:rPr>
        <w:drawing>
          <wp:inline distT="0" distB="0" distL="0" distR="0" wp14:anchorId="28497D77" wp14:editId="265F0484">
            <wp:extent cx="5943600" cy="2494915"/>
            <wp:effectExtent l="0" t="0" r="0" b="635"/>
            <wp:docPr id="15" name="Chart 15">
              <a:extLst xmlns:a="http://schemas.openxmlformats.org/drawingml/2006/main">
                <a:ext uri="{FF2B5EF4-FFF2-40B4-BE49-F238E27FC236}">
                  <a16:creationId xmlns:a16="http://schemas.microsoft.com/office/drawing/2014/main" id="{1F866AC1-8034-B43C-58ED-A3D2525D1A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302AA3B" w14:textId="77777777" w:rsidR="008B4C94" w:rsidRPr="00EE6F4E" w:rsidRDefault="008B4C94" w:rsidP="008B4C94">
      <w:pPr>
        <w:spacing w:line="360" w:lineRule="auto"/>
        <w:ind w:firstLine="720"/>
        <w:jc w:val="center"/>
        <w:rPr>
          <w:rFonts w:ascii="Times New Roman" w:hAnsi="Times New Roman"/>
          <w:lang w:val="bg-BG"/>
        </w:rPr>
      </w:pPr>
      <w:r w:rsidRPr="00EE6F4E">
        <w:rPr>
          <w:rFonts w:ascii="Times New Roman" w:hAnsi="Times New Roman"/>
          <w:lang w:val="bg-BG"/>
        </w:rPr>
        <w:t>Източник: собствени изчисления</w:t>
      </w:r>
    </w:p>
    <w:p w14:paraId="33DF7977" w14:textId="77777777" w:rsidR="008B4C94" w:rsidRDefault="008B4C94" w:rsidP="008B4C94">
      <w:pPr>
        <w:spacing w:line="360" w:lineRule="auto"/>
        <w:ind w:firstLine="720"/>
        <w:jc w:val="both"/>
        <w:rPr>
          <w:rFonts w:ascii="Times New Roman" w:hAnsi="Times New Roman" w:cs="Times New Roman"/>
          <w:lang w:val="bg-BG"/>
        </w:rPr>
      </w:pPr>
    </w:p>
    <w:p w14:paraId="4A11F07A" w14:textId="15638F72" w:rsidR="00155831" w:rsidRDefault="008B4C94" w:rsidP="006E039F">
      <w:pPr>
        <w:spacing w:line="360" w:lineRule="auto"/>
        <w:ind w:firstLine="720"/>
        <w:jc w:val="both"/>
        <w:rPr>
          <w:rFonts w:ascii="Times New Roman" w:hAnsi="Times New Roman" w:cs="Times New Roman"/>
          <w:lang w:val="bg-BG"/>
        </w:rPr>
      </w:pPr>
      <w:r w:rsidRPr="008B4C94">
        <w:rPr>
          <w:rFonts w:ascii="Times New Roman" w:hAnsi="Times New Roman" w:cs="Times New Roman"/>
          <w:lang w:val="bg-BG"/>
        </w:rPr>
        <w:t>Резултатите от казусните изследвания подкрепят втората изследователска хипотеза, че прилагането на специфични устойчиви практики може да повиши едновременно екологичната и икономическата ефективност на земеделските стопанства. Анализът на екологичната ефективност в трите казусни стопанства показва, че преходът от конвенционален към устойчив производствен модел води до намаляване на екологичния натиск при запазване или дори повишаване на икономическите резултати. Тестът за чувствителност на показателите потвърждава, че резултатите са устойчиви при умерени вариации на екологичния натиск.</w:t>
      </w:r>
    </w:p>
    <w:p w14:paraId="31B20729" w14:textId="77777777" w:rsidR="008B4C94" w:rsidRPr="00333346" w:rsidRDefault="008B4C94" w:rsidP="008B4C94">
      <w:pPr>
        <w:spacing w:line="360" w:lineRule="auto"/>
        <w:ind w:firstLine="720"/>
        <w:jc w:val="center"/>
        <w:rPr>
          <w:rFonts w:ascii="Times New Roman" w:eastAsia="Times New Roman" w:hAnsi="Times New Roman"/>
          <w:bCs/>
          <w:lang w:val="bg-BG"/>
        </w:rPr>
      </w:pPr>
      <w:bookmarkStart w:id="18" w:name="_Toc228919036"/>
      <w:r w:rsidRPr="00333346">
        <w:rPr>
          <w:rFonts w:ascii="Times New Roman" w:eastAsia="Times New Roman" w:hAnsi="Times New Roman"/>
          <w:bCs/>
          <w:lang w:val="bg-BG"/>
        </w:rPr>
        <w:t xml:space="preserve">Таблица </w:t>
      </w:r>
      <w:r w:rsidRPr="00333346">
        <w:rPr>
          <w:rFonts w:ascii="Times New Roman" w:eastAsia="Times New Roman" w:hAnsi="Times New Roman"/>
          <w:bCs/>
          <w:lang w:val="bg-BG"/>
        </w:rPr>
        <w:fldChar w:fldCharType="begin"/>
      </w:r>
      <w:r w:rsidRPr="00333346">
        <w:rPr>
          <w:rFonts w:ascii="Times New Roman" w:eastAsia="Times New Roman" w:hAnsi="Times New Roman"/>
          <w:bCs/>
          <w:lang w:val="bg-BG"/>
        </w:rPr>
        <w:instrText xml:space="preserve"> SEQ Таблица \* ARABIC </w:instrText>
      </w:r>
      <w:r w:rsidRPr="00333346">
        <w:rPr>
          <w:rFonts w:ascii="Times New Roman" w:eastAsia="Times New Roman" w:hAnsi="Times New Roman"/>
          <w:bCs/>
          <w:lang w:val="bg-BG"/>
        </w:rPr>
        <w:fldChar w:fldCharType="separate"/>
      </w:r>
      <w:r>
        <w:rPr>
          <w:rFonts w:ascii="Times New Roman" w:eastAsia="Times New Roman" w:hAnsi="Times New Roman"/>
          <w:bCs/>
          <w:noProof/>
          <w:lang w:val="bg-BG"/>
        </w:rPr>
        <w:t>27</w:t>
      </w:r>
      <w:r w:rsidRPr="00333346">
        <w:rPr>
          <w:rFonts w:ascii="Times New Roman" w:eastAsia="Times New Roman" w:hAnsi="Times New Roman"/>
          <w:bCs/>
          <w:lang w:val="bg-BG"/>
        </w:rPr>
        <w:fldChar w:fldCharType="end"/>
      </w:r>
      <w:r w:rsidRPr="00333346">
        <w:rPr>
          <w:rFonts w:ascii="Times New Roman" w:eastAsia="Times New Roman" w:hAnsi="Times New Roman"/>
          <w:bCs/>
          <w:lang w:val="bg-BG"/>
        </w:rPr>
        <w:t xml:space="preserve"> </w:t>
      </w:r>
      <w:r w:rsidRPr="0032624C">
        <w:rPr>
          <w:rFonts w:ascii="Times New Roman" w:eastAsia="Times New Roman" w:hAnsi="Times New Roman"/>
          <w:bCs/>
          <w:lang w:val="bg-BG"/>
        </w:rPr>
        <w:t>Резултати от теста за чувствителност на показателите за екологична ефективност при вариация на екологичния натиск (±δEI) — по казуси</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8B4C94" w:rsidRPr="00000B30" w14:paraId="4D5A27DD" w14:textId="77777777" w:rsidTr="00BA1CD0">
        <w:tc>
          <w:tcPr>
            <w:tcW w:w="2337" w:type="dxa"/>
            <w:vAlign w:val="center"/>
          </w:tcPr>
          <w:p w14:paraId="15C982C5" w14:textId="77777777" w:rsidR="008B4C94" w:rsidRPr="00000B30" w:rsidRDefault="008B4C94" w:rsidP="00BA1CD0">
            <w:pPr>
              <w:spacing w:after="0" w:line="240" w:lineRule="auto"/>
              <w:jc w:val="center"/>
              <w:rPr>
                <w:rFonts w:ascii="Times New Roman" w:hAnsi="Times New Roman"/>
                <w:b/>
              </w:rPr>
            </w:pPr>
            <w:r w:rsidRPr="00000B30">
              <w:rPr>
                <w:rFonts w:ascii="Times New Roman" w:hAnsi="Times New Roman"/>
                <w:b/>
              </w:rPr>
              <w:lastRenderedPageBreak/>
              <w:t>Казус</w:t>
            </w:r>
          </w:p>
        </w:tc>
        <w:tc>
          <w:tcPr>
            <w:tcW w:w="2337" w:type="dxa"/>
            <w:vAlign w:val="center"/>
          </w:tcPr>
          <w:p w14:paraId="6EAA6EFE" w14:textId="77777777" w:rsidR="008B4C94" w:rsidRPr="00000B30" w:rsidRDefault="008B4C94" w:rsidP="00BA1CD0">
            <w:pPr>
              <w:spacing w:after="0" w:line="240" w:lineRule="auto"/>
              <w:jc w:val="center"/>
              <w:rPr>
                <w:rFonts w:ascii="Times New Roman" w:hAnsi="Times New Roman"/>
                <w:b/>
              </w:rPr>
            </w:pPr>
            <w:r w:rsidRPr="00000B30">
              <w:rPr>
                <w:rFonts w:ascii="Times New Roman" w:hAnsi="Times New Roman"/>
                <w:b/>
              </w:rPr>
              <w:t>δEI (%)</w:t>
            </w:r>
          </w:p>
        </w:tc>
        <w:tc>
          <w:tcPr>
            <w:tcW w:w="2338" w:type="dxa"/>
            <w:vAlign w:val="center"/>
          </w:tcPr>
          <w:p w14:paraId="1B7105A7" w14:textId="77777777" w:rsidR="008B4C94" w:rsidRPr="00000B30" w:rsidRDefault="008B4C94" w:rsidP="00BA1CD0">
            <w:pPr>
              <w:spacing w:after="0" w:line="240" w:lineRule="auto"/>
              <w:jc w:val="center"/>
              <w:rPr>
                <w:rFonts w:ascii="Times New Roman" w:hAnsi="Times New Roman"/>
                <w:b/>
              </w:rPr>
            </w:pPr>
            <w:r w:rsidRPr="00000B30">
              <w:rPr>
                <w:rFonts w:ascii="Times New Roman" w:hAnsi="Times New Roman"/>
                <w:b/>
              </w:rPr>
              <w:t>Запазване на знак на (EEs - EEc)</w:t>
            </w:r>
          </w:p>
        </w:tc>
        <w:tc>
          <w:tcPr>
            <w:tcW w:w="2338" w:type="dxa"/>
            <w:vAlign w:val="center"/>
          </w:tcPr>
          <w:p w14:paraId="59F2A96A" w14:textId="77777777" w:rsidR="008B4C94" w:rsidRPr="00000B30" w:rsidRDefault="008B4C94" w:rsidP="00BA1CD0">
            <w:pPr>
              <w:spacing w:after="0" w:line="240" w:lineRule="auto"/>
              <w:jc w:val="center"/>
              <w:rPr>
                <w:rFonts w:ascii="Times New Roman" w:hAnsi="Times New Roman"/>
                <w:b/>
              </w:rPr>
            </w:pPr>
            <w:r w:rsidRPr="00000B30">
              <w:rPr>
                <w:rFonts w:ascii="Times New Roman" w:hAnsi="Times New Roman"/>
                <w:b/>
              </w:rPr>
              <w:t>Интерпретация</w:t>
            </w:r>
          </w:p>
        </w:tc>
      </w:tr>
      <w:tr w:rsidR="008B4C94" w:rsidRPr="00000B30" w14:paraId="0888ED43" w14:textId="77777777" w:rsidTr="00BA1CD0">
        <w:tc>
          <w:tcPr>
            <w:tcW w:w="2337" w:type="dxa"/>
            <w:vAlign w:val="center"/>
          </w:tcPr>
          <w:p w14:paraId="16B839C1"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1</w:t>
            </w:r>
          </w:p>
        </w:tc>
        <w:tc>
          <w:tcPr>
            <w:tcW w:w="2337" w:type="dxa"/>
            <w:vAlign w:val="center"/>
          </w:tcPr>
          <w:p w14:paraId="348C6D3E"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±10</w:t>
            </w:r>
          </w:p>
        </w:tc>
        <w:tc>
          <w:tcPr>
            <w:tcW w:w="2338" w:type="dxa"/>
            <w:vAlign w:val="center"/>
          </w:tcPr>
          <w:p w14:paraId="0A47ABFC"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Да</w:t>
            </w:r>
          </w:p>
        </w:tc>
        <w:tc>
          <w:tcPr>
            <w:tcW w:w="2338" w:type="dxa"/>
            <w:vAlign w:val="center"/>
          </w:tcPr>
          <w:p w14:paraId="7A9D8875"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Надежден резултат</w:t>
            </w:r>
          </w:p>
        </w:tc>
      </w:tr>
      <w:tr w:rsidR="008B4C94" w:rsidRPr="00000B30" w14:paraId="69316A1D" w14:textId="77777777" w:rsidTr="00BA1CD0">
        <w:tc>
          <w:tcPr>
            <w:tcW w:w="2337" w:type="dxa"/>
            <w:vAlign w:val="center"/>
          </w:tcPr>
          <w:p w14:paraId="0802E774"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2</w:t>
            </w:r>
          </w:p>
        </w:tc>
        <w:tc>
          <w:tcPr>
            <w:tcW w:w="2337" w:type="dxa"/>
            <w:vAlign w:val="center"/>
          </w:tcPr>
          <w:p w14:paraId="727604E2"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±15</w:t>
            </w:r>
          </w:p>
        </w:tc>
        <w:tc>
          <w:tcPr>
            <w:tcW w:w="2338" w:type="dxa"/>
            <w:vAlign w:val="center"/>
          </w:tcPr>
          <w:p w14:paraId="34A657B3"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Да</w:t>
            </w:r>
          </w:p>
        </w:tc>
        <w:tc>
          <w:tcPr>
            <w:tcW w:w="2338" w:type="dxa"/>
            <w:vAlign w:val="center"/>
          </w:tcPr>
          <w:p w14:paraId="6C7F42C5"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Висока интерпретативна стабилност</w:t>
            </w:r>
          </w:p>
        </w:tc>
      </w:tr>
      <w:tr w:rsidR="008B4C94" w:rsidRPr="00000B30" w14:paraId="48BA1129" w14:textId="77777777" w:rsidTr="00BA1CD0">
        <w:tc>
          <w:tcPr>
            <w:tcW w:w="2337" w:type="dxa"/>
            <w:vAlign w:val="center"/>
          </w:tcPr>
          <w:p w14:paraId="27C0BFC4"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3</w:t>
            </w:r>
          </w:p>
        </w:tc>
        <w:tc>
          <w:tcPr>
            <w:tcW w:w="2337" w:type="dxa"/>
            <w:vAlign w:val="center"/>
          </w:tcPr>
          <w:p w14:paraId="288984E4"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±20</w:t>
            </w:r>
          </w:p>
        </w:tc>
        <w:tc>
          <w:tcPr>
            <w:tcW w:w="2338" w:type="dxa"/>
            <w:vAlign w:val="center"/>
          </w:tcPr>
          <w:p w14:paraId="3EBBEBA1"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Да</w:t>
            </w:r>
          </w:p>
        </w:tc>
        <w:tc>
          <w:tcPr>
            <w:tcW w:w="2338" w:type="dxa"/>
            <w:vAlign w:val="center"/>
          </w:tcPr>
          <w:p w14:paraId="4A4B604C" w14:textId="77777777" w:rsidR="008B4C94" w:rsidRPr="00000B30" w:rsidRDefault="008B4C94" w:rsidP="00BA1CD0">
            <w:pPr>
              <w:spacing w:after="0" w:line="240" w:lineRule="auto"/>
              <w:jc w:val="center"/>
              <w:rPr>
                <w:rFonts w:ascii="Times New Roman" w:hAnsi="Times New Roman"/>
              </w:rPr>
            </w:pPr>
            <w:r w:rsidRPr="00000B30">
              <w:rPr>
                <w:rFonts w:ascii="Times New Roman" w:hAnsi="Times New Roman"/>
              </w:rPr>
              <w:t>Устойчив модел остава значимо по-ефективен</w:t>
            </w:r>
          </w:p>
        </w:tc>
      </w:tr>
    </w:tbl>
    <w:p w14:paraId="25312BA9" w14:textId="77777777" w:rsidR="008B4C94" w:rsidRDefault="008B4C94" w:rsidP="008B4C94">
      <w:pPr>
        <w:spacing w:line="360" w:lineRule="auto"/>
        <w:ind w:firstLine="720"/>
        <w:jc w:val="center"/>
        <w:rPr>
          <w:rFonts w:ascii="Times New Roman" w:eastAsia="Times New Roman" w:hAnsi="Times New Roman"/>
          <w:bCs/>
          <w:lang w:val="bg-BG"/>
        </w:rPr>
      </w:pPr>
      <w:r w:rsidRPr="00DB17A1">
        <w:rPr>
          <w:rFonts w:ascii="Times New Roman" w:eastAsia="Times New Roman" w:hAnsi="Times New Roman"/>
          <w:bCs/>
          <w:lang w:val="bg-BG"/>
        </w:rPr>
        <w:t>Източник: Собствени изчисления</w:t>
      </w:r>
    </w:p>
    <w:p w14:paraId="593A3143" w14:textId="77777777" w:rsidR="006E039F" w:rsidRDefault="008B4C94" w:rsidP="006E039F">
      <w:pPr>
        <w:spacing w:line="360" w:lineRule="auto"/>
        <w:ind w:firstLine="720"/>
        <w:jc w:val="both"/>
        <w:rPr>
          <w:rFonts w:ascii="Times New Roman" w:hAnsi="Times New Roman" w:cs="Times New Roman"/>
          <w:lang w:val="bg-BG"/>
        </w:rPr>
      </w:pPr>
      <w:r w:rsidRPr="008B4C94">
        <w:rPr>
          <w:rFonts w:ascii="Times New Roman" w:hAnsi="Times New Roman" w:cs="Times New Roman"/>
          <w:lang w:val="bg-BG"/>
        </w:rPr>
        <w:t xml:space="preserve"> Тези данни имат важно значение за политиката, тъй като показват, че целите на Зелената сделка за намаляване на употребата на торове и пестициди могат да бъдат постигнати без значителни загуби в производителността, при условие че се прилагат подходящи устойчиви практики.</w:t>
      </w:r>
      <w:r w:rsidR="006E039F">
        <w:rPr>
          <w:rFonts w:ascii="Times New Roman" w:hAnsi="Times New Roman" w:cs="Times New Roman"/>
          <w:lang w:val="bg-BG"/>
        </w:rPr>
        <w:t xml:space="preserve"> </w:t>
      </w:r>
      <w:r w:rsidR="006E039F" w:rsidRPr="00561F60">
        <w:rPr>
          <w:rFonts w:ascii="Times New Roman" w:hAnsi="Times New Roman" w:cs="Times New Roman"/>
          <w:lang w:val="bg-BG"/>
        </w:rPr>
        <w:t>В трите изследвани стопанства прилагането на устойчиви практики (безорна обработка, покривни култури, инхибирани торове, капково напояване и интегрирано управление на вредителите) води до измерими положителни ефекти както върху икономическите, така и върху екологичните показатели. В индустриалното зърнопроизводствено стопанство безорната обработка и покривните култури осигуряват по-високи добиви при по-ниски разходи за гориво и торове. В животновъдното стопанство приложението на покривни култури с азотфиксиращ ефект намалява нуждата от минерални торове и подобрява почвеното плодородие. В стопанството с трайни насаждения капковото напояване и затревяването на междуредията подобряват ефективността на водата и намаляват ерозията на почвата. Обобщените резултати от казусните изследвания показват, че устойчивите практики</w:t>
      </w:r>
      <w:r w:rsidR="006E039F">
        <w:rPr>
          <w:rFonts w:ascii="Times New Roman" w:hAnsi="Times New Roman" w:cs="Times New Roman"/>
          <w:lang w:val="bg-BG"/>
        </w:rPr>
        <w:t xml:space="preserve"> са </w:t>
      </w:r>
      <w:r w:rsidR="006E039F" w:rsidRPr="00561F60">
        <w:rPr>
          <w:rFonts w:ascii="Times New Roman" w:hAnsi="Times New Roman" w:cs="Times New Roman"/>
          <w:lang w:val="bg-BG"/>
        </w:rPr>
        <w:t>ефективни</w:t>
      </w:r>
      <w:r w:rsidR="006E039F">
        <w:rPr>
          <w:rFonts w:ascii="Times New Roman" w:hAnsi="Times New Roman" w:cs="Times New Roman"/>
          <w:lang w:val="bg-BG"/>
        </w:rPr>
        <w:t xml:space="preserve"> както в икономическо така и в екологично измерение. </w:t>
      </w:r>
    </w:p>
    <w:p w14:paraId="0507E981" w14:textId="6507043B" w:rsidR="008B4C94" w:rsidRPr="008B4C94" w:rsidRDefault="008B4C94" w:rsidP="006E039F">
      <w:pPr>
        <w:spacing w:line="360" w:lineRule="auto"/>
        <w:ind w:firstLine="720"/>
        <w:jc w:val="both"/>
        <w:rPr>
          <w:rFonts w:ascii="Times New Roman" w:hAnsi="Times New Roman" w:cs="Times New Roman"/>
          <w:lang w:val="bg-BG"/>
        </w:rPr>
      </w:pPr>
      <w:r w:rsidRPr="008B4C94">
        <w:rPr>
          <w:rFonts w:ascii="Times New Roman" w:hAnsi="Times New Roman" w:cs="Times New Roman"/>
          <w:lang w:val="bg-BG"/>
        </w:rPr>
        <w:t>Резултатите от Казус</w:t>
      </w:r>
      <w:r w:rsidR="006E039F">
        <w:rPr>
          <w:rFonts w:ascii="Times New Roman" w:hAnsi="Times New Roman" w:cs="Times New Roman"/>
          <w:lang w:val="bg-BG"/>
        </w:rPr>
        <w:t xml:space="preserve"> 1 </w:t>
      </w:r>
      <w:r w:rsidRPr="008B4C94">
        <w:rPr>
          <w:rFonts w:ascii="Times New Roman" w:hAnsi="Times New Roman" w:cs="Times New Roman"/>
          <w:lang w:val="bg-BG"/>
        </w:rPr>
        <w:t xml:space="preserve"> са представени в следната таблица:</w:t>
      </w:r>
    </w:p>
    <w:p w14:paraId="6068C561" w14:textId="77777777" w:rsidR="00A01624" w:rsidRPr="00333346" w:rsidRDefault="00A01624" w:rsidP="00A01624">
      <w:pPr>
        <w:spacing w:line="360" w:lineRule="auto"/>
        <w:ind w:firstLine="720"/>
        <w:jc w:val="center"/>
        <w:rPr>
          <w:rFonts w:ascii="Times New Roman" w:eastAsia="Times New Roman" w:hAnsi="Times New Roman"/>
          <w:bCs/>
          <w:lang w:val="bg-BG"/>
        </w:rPr>
      </w:pPr>
      <w:bookmarkStart w:id="19" w:name="_Toc228919033"/>
      <w:r w:rsidRPr="00333346">
        <w:rPr>
          <w:rFonts w:ascii="Times New Roman" w:eastAsia="Times New Roman" w:hAnsi="Times New Roman"/>
          <w:bCs/>
          <w:lang w:val="bg-BG"/>
        </w:rPr>
        <w:t xml:space="preserve">Таблица </w:t>
      </w:r>
      <w:r w:rsidRPr="00333346">
        <w:rPr>
          <w:rFonts w:ascii="Times New Roman" w:eastAsia="Times New Roman" w:hAnsi="Times New Roman"/>
          <w:bCs/>
          <w:lang w:val="bg-BG"/>
        </w:rPr>
        <w:fldChar w:fldCharType="begin"/>
      </w:r>
      <w:r w:rsidRPr="00333346">
        <w:rPr>
          <w:rFonts w:ascii="Times New Roman" w:eastAsia="Times New Roman" w:hAnsi="Times New Roman"/>
          <w:bCs/>
          <w:lang w:val="bg-BG"/>
        </w:rPr>
        <w:instrText xml:space="preserve"> SEQ Таблица \* ARABIC </w:instrText>
      </w:r>
      <w:r w:rsidRPr="00333346">
        <w:rPr>
          <w:rFonts w:ascii="Times New Roman" w:eastAsia="Times New Roman" w:hAnsi="Times New Roman"/>
          <w:bCs/>
          <w:lang w:val="bg-BG"/>
        </w:rPr>
        <w:fldChar w:fldCharType="separate"/>
      </w:r>
      <w:r>
        <w:rPr>
          <w:rFonts w:ascii="Times New Roman" w:eastAsia="Times New Roman" w:hAnsi="Times New Roman"/>
          <w:bCs/>
          <w:noProof/>
          <w:lang w:val="bg-BG"/>
        </w:rPr>
        <w:t>24</w:t>
      </w:r>
      <w:r w:rsidRPr="00333346">
        <w:rPr>
          <w:rFonts w:ascii="Times New Roman" w:eastAsia="Times New Roman" w:hAnsi="Times New Roman"/>
          <w:bCs/>
          <w:lang w:val="bg-BG"/>
        </w:rPr>
        <w:fldChar w:fldCharType="end"/>
      </w:r>
      <w:r w:rsidRPr="00333346">
        <w:rPr>
          <w:rFonts w:ascii="Times New Roman" w:eastAsia="Times New Roman" w:hAnsi="Times New Roman"/>
          <w:bCs/>
          <w:lang w:val="bg-BG"/>
        </w:rPr>
        <w:t xml:space="preserve"> </w:t>
      </w:r>
      <w:r w:rsidRPr="0032624C">
        <w:rPr>
          <w:rFonts w:ascii="Times New Roman" w:eastAsia="Times New Roman" w:hAnsi="Times New Roman"/>
          <w:bCs/>
          <w:lang w:val="bg-BG"/>
        </w:rPr>
        <w:t>Стойности на показателите за екологична ефективност при конвенционален и устойчив производствен модел — Казус 1: Индустриално зърнопроизводствено стопанство, Североизточен район (BG33)</w:t>
      </w:r>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2048"/>
        <w:gridCol w:w="1781"/>
        <w:gridCol w:w="1801"/>
        <w:gridCol w:w="1925"/>
      </w:tblGrid>
      <w:tr w:rsidR="00A01624" w:rsidRPr="00000B30" w14:paraId="5597E36C" w14:textId="77777777" w:rsidTr="00BA1CD0">
        <w:tc>
          <w:tcPr>
            <w:tcW w:w="1860" w:type="dxa"/>
          </w:tcPr>
          <w:p w14:paraId="2E690B62" w14:textId="77777777" w:rsidR="00A01624" w:rsidRPr="00000B30" w:rsidRDefault="00A01624" w:rsidP="00BA1CD0">
            <w:pPr>
              <w:spacing w:after="0" w:line="240" w:lineRule="auto"/>
              <w:jc w:val="center"/>
              <w:rPr>
                <w:rFonts w:ascii="Times New Roman" w:hAnsi="Times New Roman"/>
                <w:b/>
              </w:rPr>
            </w:pPr>
            <w:r w:rsidRPr="00000B30">
              <w:rPr>
                <w:rFonts w:ascii="Times New Roman" w:hAnsi="Times New Roman"/>
                <w:b/>
              </w:rPr>
              <w:t>Показател</w:t>
            </w:r>
          </w:p>
        </w:tc>
        <w:tc>
          <w:tcPr>
            <w:tcW w:w="1904" w:type="dxa"/>
          </w:tcPr>
          <w:p w14:paraId="0EE66CB8" w14:textId="77777777" w:rsidR="00A01624" w:rsidRPr="00000B30" w:rsidRDefault="00A01624" w:rsidP="00BA1CD0">
            <w:pPr>
              <w:spacing w:after="0" w:line="240" w:lineRule="auto"/>
              <w:jc w:val="center"/>
              <w:rPr>
                <w:rFonts w:ascii="Times New Roman" w:hAnsi="Times New Roman"/>
                <w:b/>
              </w:rPr>
            </w:pPr>
            <w:r w:rsidRPr="00000B30">
              <w:rPr>
                <w:rFonts w:ascii="Times New Roman" w:hAnsi="Times New Roman"/>
                <w:b/>
              </w:rPr>
              <w:t>Конвенционален модел</w:t>
            </w:r>
          </w:p>
        </w:tc>
        <w:tc>
          <w:tcPr>
            <w:tcW w:w="1858" w:type="dxa"/>
          </w:tcPr>
          <w:p w14:paraId="38E59893" w14:textId="77777777" w:rsidR="00A01624" w:rsidRPr="00000B30" w:rsidRDefault="00A01624" w:rsidP="00BA1CD0">
            <w:pPr>
              <w:spacing w:after="0" w:line="240" w:lineRule="auto"/>
              <w:jc w:val="center"/>
              <w:rPr>
                <w:rFonts w:ascii="Times New Roman" w:hAnsi="Times New Roman"/>
                <w:b/>
              </w:rPr>
            </w:pPr>
            <w:r w:rsidRPr="00000B30">
              <w:rPr>
                <w:rFonts w:ascii="Times New Roman" w:hAnsi="Times New Roman"/>
                <w:b/>
              </w:rPr>
              <w:t>Устойчив модел</w:t>
            </w:r>
          </w:p>
        </w:tc>
        <w:tc>
          <w:tcPr>
            <w:tcW w:w="1860" w:type="dxa"/>
          </w:tcPr>
          <w:p w14:paraId="5B1B0F0D" w14:textId="77777777" w:rsidR="00A01624" w:rsidRPr="00000B30" w:rsidRDefault="00A01624" w:rsidP="00BA1CD0">
            <w:pPr>
              <w:spacing w:after="0" w:line="240" w:lineRule="auto"/>
              <w:jc w:val="center"/>
              <w:rPr>
                <w:rFonts w:ascii="Times New Roman" w:hAnsi="Times New Roman"/>
                <w:b/>
              </w:rPr>
            </w:pPr>
            <w:r w:rsidRPr="00000B30">
              <w:rPr>
                <w:rFonts w:ascii="Times New Roman" w:hAnsi="Times New Roman"/>
                <w:b/>
              </w:rPr>
              <w:t>Изменение (%)</w:t>
            </w:r>
          </w:p>
        </w:tc>
        <w:tc>
          <w:tcPr>
            <w:tcW w:w="1868" w:type="dxa"/>
          </w:tcPr>
          <w:p w14:paraId="381D42C9" w14:textId="77777777" w:rsidR="00A01624" w:rsidRPr="00000B30" w:rsidRDefault="00A01624" w:rsidP="00BA1CD0">
            <w:pPr>
              <w:spacing w:after="0" w:line="240" w:lineRule="auto"/>
              <w:jc w:val="center"/>
              <w:rPr>
                <w:rFonts w:ascii="Times New Roman" w:hAnsi="Times New Roman"/>
                <w:b/>
              </w:rPr>
            </w:pPr>
            <w:r w:rsidRPr="00000B30">
              <w:rPr>
                <w:rFonts w:ascii="Times New Roman" w:hAnsi="Times New Roman"/>
                <w:b/>
              </w:rPr>
              <w:t>Интерпретация</w:t>
            </w:r>
          </w:p>
        </w:tc>
      </w:tr>
      <w:tr w:rsidR="00A01624" w:rsidRPr="00000B30" w14:paraId="4B22B3B1" w14:textId="77777777" w:rsidTr="00BA1CD0">
        <w:tc>
          <w:tcPr>
            <w:tcW w:w="1860" w:type="dxa"/>
          </w:tcPr>
          <w:p w14:paraId="3EFC8E3C"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N (kg/ha)</w:t>
            </w:r>
          </w:p>
        </w:tc>
        <w:tc>
          <w:tcPr>
            <w:tcW w:w="1904" w:type="dxa"/>
          </w:tcPr>
          <w:p w14:paraId="79E97221"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185</w:t>
            </w:r>
          </w:p>
        </w:tc>
        <w:tc>
          <w:tcPr>
            <w:tcW w:w="1858" w:type="dxa"/>
          </w:tcPr>
          <w:p w14:paraId="0BCC5021"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135</w:t>
            </w:r>
          </w:p>
        </w:tc>
        <w:tc>
          <w:tcPr>
            <w:tcW w:w="1860" w:type="dxa"/>
          </w:tcPr>
          <w:p w14:paraId="382ACA72" w14:textId="701A296E" w:rsidR="00A01624" w:rsidRPr="00A01624" w:rsidRDefault="00A01624" w:rsidP="00BA1CD0">
            <w:pPr>
              <w:spacing w:after="0" w:line="240" w:lineRule="auto"/>
              <w:jc w:val="center"/>
              <w:rPr>
                <w:rFonts w:ascii="Times New Roman" w:hAnsi="Times New Roman"/>
                <w:lang w:val="bg-BG"/>
              </w:rPr>
            </w:pPr>
            <w:r w:rsidRPr="00000B30">
              <w:rPr>
                <w:rFonts w:ascii="Times New Roman" w:hAnsi="Times New Roman"/>
              </w:rPr>
              <w:t>-27.03</w:t>
            </w:r>
          </w:p>
        </w:tc>
        <w:tc>
          <w:tcPr>
            <w:tcW w:w="1868" w:type="dxa"/>
          </w:tcPr>
          <w:p w14:paraId="5CA543B1"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Намалено торене</w:t>
            </w:r>
          </w:p>
        </w:tc>
      </w:tr>
      <w:tr w:rsidR="00A01624" w:rsidRPr="00000B30" w14:paraId="4B8D574F" w14:textId="77777777" w:rsidTr="00BA1CD0">
        <w:tc>
          <w:tcPr>
            <w:tcW w:w="1860" w:type="dxa"/>
          </w:tcPr>
          <w:p w14:paraId="0D5477B4"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lastRenderedPageBreak/>
              <w:t>E (лв./ha)</w:t>
            </w:r>
          </w:p>
        </w:tc>
        <w:tc>
          <w:tcPr>
            <w:tcW w:w="1904" w:type="dxa"/>
          </w:tcPr>
          <w:p w14:paraId="7C80E52A"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310</w:t>
            </w:r>
          </w:p>
        </w:tc>
        <w:tc>
          <w:tcPr>
            <w:tcW w:w="1858" w:type="dxa"/>
          </w:tcPr>
          <w:p w14:paraId="77E485F9"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270</w:t>
            </w:r>
          </w:p>
        </w:tc>
        <w:tc>
          <w:tcPr>
            <w:tcW w:w="1860" w:type="dxa"/>
          </w:tcPr>
          <w:p w14:paraId="14F49C44" w14:textId="6100C875" w:rsidR="00A01624" w:rsidRPr="00A01624" w:rsidRDefault="00A01624" w:rsidP="00BA1CD0">
            <w:pPr>
              <w:spacing w:after="0" w:line="240" w:lineRule="auto"/>
              <w:jc w:val="center"/>
              <w:rPr>
                <w:rFonts w:ascii="Times New Roman" w:hAnsi="Times New Roman"/>
                <w:lang w:val="bg-BG"/>
              </w:rPr>
            </w:pPr>
            <w:r w:rsidRPr="00000B30">
              <w:rPr>
                <w:rFonts w:ascii="Times New Roman" w:hAnsi="Times New Roman"/>
              </w:rPr>
              <w:t>-12.9</w:t>
            </w:r>
          </w:p>
        </w:tc>
        <w:tc>
          <w:tcPr>
            <w:tcW w:w="1868" w:type="dxa"/>
          </w:tcPr>
          <w:p w14:paraId="071BAB75"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По-нисък енергиен интензитет</w:t>
            </w:r>
          </w:p>
        </w:tc>
      </w:tr>
      <w:tr w:rsidR="00A01624" w:rsidRPr="00000B30" w14:paraId="1FFB1331" w14:textId="77777777" w:rsidTr="00BA1CD0">
        <w:tc>
          <w:tcPr>
            <w:tcW w:w="1860" w:type="dxa"/>
          </w:tcPr>
          <w:p w14:paraId="085B4732"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CI (kg CO₂-eq/t)</w:t>
            </w:r>
          </w:p>
        </w:tc>
        <w:tc>
          <w:tcPr>
            <w:tcW w:w="1904" w:type="dxa"/>
          </w:tcPr>
          <w:p w14:paraId="30C7064F"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215</w:t>
            </w:r>
          </w:p>
        </w:tc>
        <w:tc>
          <w:tcPr>
            <w:tcW w:w="1858" w:type="dxa"/>
          </w:tcPr>
          <w:p w14:paraId="5E49C091"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160</w:t>
            </w:r>
          </w:p>
        </w:tc>
        <w:tc>
          <w:tcPr>
            <w:tcW w:w="1860" w:type="dxa"/>
          </w:tcPr>
          <w:p w14:paraId="4E6D5989" w14:textId="76171CD9" w:rsidR="00A01624" w:rsidRPr="00A01624" w:rsidRDefault="00A01624" w:rsidP="00BA1CD0">
            <w:pPr>
              <w:spacing w:after="0" w:line="240" w:lineRule="auto"/>
              <w:jc w:val="center"/>
              <w:rPr>
                <w:rFonts w:ascii="Times New Roman" w:hAnsi="Times New Roman"/>
                <w:lang w:val="bg-BG"/>
              </w:rPr>
            </w:pPr>
            <w:r w:rsidRPr="00000B30">
              <w:rPr>
                <w:rFonts w:ascii="Times New Roman" w:hAnsi="Times New Roman"/>
              </w:rPr>
              <w:t>-25.6</w:t>
            </w:r>
          </w:p>
        </w:tc>
        <w:tc>
          <w:tcPr>
            <w:tcW w:w="1868" w:type="dxa"/>
          </w:tcPr>
          <w:p w14:paraId="5410B4F6"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Съществен спад на емисиите</w:t>
            </w:r>
          </w:p>
        </w:tc>
      </w:tr>
      <w:tr w:rsidR="00A01624" w:rsidRPr="00000B30" w14:paraId="44E91060" w14:textId="77777777" w:rsidTr="00BA1CD0">
        <w:tc>
          <w:tcPr>
            <w:tcW w:w="1860" w:type="dxa"/>
          </w:tcPr>
          <w:p w14:paraId="7E1BFFC3"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NUE (t/kg N)</w:t>
            </w:r>
          </w:p>
        </w:tc>
        <w:tc>
          <w:tcPr>
            <w:tcW w:w="1904" w:type="dxa"/>
          </w:tcPr>
          <w:p w14:paraId="132FC830"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2.91</w:t>
            </w:r>
          </w:p>
        </w:tc>
        <w:tc>
          <w:tcPr>
            <w:tcW w:w="1858" w:type="dxa"/>
          </w:tcPr>
          <w:p w14:paraId="2B1FA617"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3.45</w:t>
            </w:r>
          </w:p>
        </w:tc>
        <w:tc>
          <w:tcPr>
            <w:tcW w:w="1860" w:type="dxa"/>
          </w:tcPr>
          <w:p w14:paraId="78339339" w14:textId="6FBAA3B2" w:rsidR="00A01624" w:rsidRPr="00A01624" w:rsidRDefault="00A01624" w:rsidP="00BA1CD0">
            <w:pPr>
              <w:spacing w:after="0" w:line="240" w:lineRule="auto"/>
              <w:jc w:val="center"/>
              <w:rPr>
                <w:rFonts w:ascii="Times New Roman" w:hAnsi="Times New Roman"/>
                <w:lang w:val="bg-BG"/>
              </w:rPr>
            </w:pPr>
            <w:r w:rsidRPr="00000B30">
              <w:rPr>
                <w:rFonts w:ascii="Times New Roman" w:hAnsi="Times New Roman"/>
              </w:rPr>
              <w:t>+18.5</w:t>
            </w:r>
          </w:p>
        </w:tc>
        <w:tc>
          <w:tcPr>
            <w:tcW w:w="1868" w:type="dxa"/>
          </w:tcPr>
          <w:p w14:paraId="6DA3EDDC"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По-добра азотна ефективност</w:t>
            </w:r>
          </w:p>
        </w:tc>
      </w:tr>
      <w:tr w:rsidR="00A01624" w:rsidRPr="00000B30" w14:paraId="23B675BC" w14:textId="77777777" w:rsidTr="00BA1CD0">
        <w:tc>
          <w:tcPr>
            <w:tcW w:w="1860" w:type="dxa"/>
          </w:tcPr>
          <w:p w14:paraId="3C260BAA"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EE (лв./EI)</w:t>
            </w:r>
          </w:p>
        </w:tc>
        <w:tc>
          <w:tcPr>
            <w:tcW w:w="1904" w:type="dxa"/>
          </w:tcPr>
          <w:p w14:paraId="1A9A5BF7"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4.56</w:t>
            </w:r>
          </w:p>
        </w:tc>
        <w:tc>
          <w:tcPr>
            <w:tcW w:w="1858" w:type="dxa"/>
          </w:tcPr>
          <w:p w14:paraId="2EC6D917"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6.02</w:t>
            </w:r>
          </w:p>
        </w:tc>
        <w:tc>
          <w:tcPr>
            <w:tcW w:w="1860" w:type="dxa"/>
          </w:tcPr>
          <w:p w14:paraId="1D831057" w14:textId="6626CF09" w:rsidR="00A01624" w:rsidRPr="00A01624" w:rsidRDefault="00A01624" w:rsidP="00BA1CD0">
            <w:pPr>
              <w:spacing w:after="0" w:line="240" w:lineRule="auto"/>
              <w:jc w:val="center"/>
              <w:rPr>
                <w:rFonts w:ascii="Times New Roman" w:hAnsi="Times New Roman"/>
                <w:lang w:val="bg-BG"/>
              </w:rPr>
            </w:pPr>
            <w:r w:rsidRPr="00000B30">
              <w:rPr>
                <w:rFonts w:ascii="Times New Roman" w:hAnsi="Times New Roman"/>
              </w:rPr>
              <w:t>+32</w:t>
            </w:r>
          </w:p>
        </w:tc>
        <w:tc>
          <w:tcPr>
            <w:tcW w:w="1868" w:type="dxa"/>
          </w:tcPr>
          <w:p w14:paraId="481689EF"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Значително повишена екологична ефективност</w:t>
            </w:r>
          </w:p>
        </w:tc>
      </w:tr>
      <w:tr w:rsidR="00A01624" w:rsidRPr="00000B30" w14:paraId="5040DC5C" w14:textId="77777777" w:rsidTr="00BA1CD0">
        <w:tc>
          <w:tcPr>
            <w:tcW w:w="1860" w:type="dxa"/>
          </w:tcPr>
          <w:p w14:paraId="29CF73F5"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ΔEE</w:t>
            </w:r>
          </w:p>
        </w:tc>
        <w:tc>
          <w:tcPr>
            <w:tcW w:w="1904" w:type="dxa"/>
          </w:tcPr>
          <w:p w14:paraId="16A03C7F"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w:t>
            </w:r>
          </w:p>
        </w:tc>
        <w:tc>
          <w:tcPr>
            <w:tcW w:w="1858" w:type="dxa"/>
          </w:tcPr>
          <w:p w14:paraId="1C3D9A59"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1.32</w:t>
            </w:r>
          </w:p>
        </w:tc>
        <w:tc>
          <w:tcPr>
            <w:tcW w:w="1860" w:type="dxa"/>
          </w:tcPr>
          <w:p w14:paraId="02570361" w14:textId="79E17158" w:rsidR="00A01624" w:rsidRPr="00A01624" w:rsidRDefault="00A01624" w:rsidP="00BA1CD0">
            <w:pPr>
              <w:spacing w:after="0" w:line="240" w:lineRule="auto"/>
              <w:jc w:val="center"/>
              <w:rPr>
                <w:rFonts w:ascii="Times New Roman" w:hAnsi="Times New Roman"/>
                <w:b/>
                <w:lang w:val="bg-BG"/>
              </w:rPr>
            </w:pPr>
            <w:r w:rsidRPr="009238D1">
              <w:rPr>
                <w:rFonts w:ascii="Times New Roman" w:hAnsi="Times New Roman"/>
                <w:b/>
              </w:rPr>
              <w:t>+32</w:t>
            </w:r>
          </w:p>
        </w:tc>
        <w:tc>
          <w:tcPr>
            <w:tcW w:w="1868" w:type="dxa"/>
          </w:tcPr>
          <w:p w14:paraId="5F2958CF" w14:textId="77777777" w:rsidR="00A01624" w:rsidRPr="00000B30" w:rsidRDefault="00A01624" w:rsidP="00BA1CD0">
            <w:pPr>
              <w:spacing w:after="0" w:line="240" w:lineRule="auto"/>
              <w:jc w:val="center"/>
              <w:rPr>
                <w:rFonts w:ascii="Times New Roman" w:hAnsi="Times New Roman"/>
              </w:rPr>
            </w:pPr>
            <w:r w:rsidRPr="00000B30">
              <w:rPr>
                <w:rFonts w:ascii="Times New Roman" w:hAnsi="Times New Roman"/>
              </w:rPr>
              <w:t>Подобрение спрямо предходната кампания</w:t>
            </w:r>
          </w:p>
        </w:tc>
      </w:tr>
    </w:tbl>
    <w:p w14:paraId="63529A20" w14:textId="77777777" w:rsidR="00A01624" w:rsidRPr="00116E0A" w:rsidRDefault="00A01624" w:rsidP="00A01624">
      <w:pPr>
        <w:spacing w:line="360" w:lineRule="auto"/>
        <w:ind w:firstLine="720"/>
        <w:jc w:val="center"/>
        <w:rPr>
          <w:rFonts w:ascii="Times New Roman" w:eastAsia="Times New Roman" w:hAnsi="Times New Roman"/>
          <w:bCs/>
          <w:lang w:val="bg-BG"/>
        </w:rPr>
      </w:pPr>
      <w:r w:rsidRPr="00DB17A1">
        <w:rPr>
          <w:rFonts w:ascii="Times New Roman" w:eastAsia="Times New Roman" w:hAnsi="Times New Roman"/>
          <w:bCs/>
          <w:lang w:val="bg-BG"/>
        </w:rPr>
        <w:t>Източник: Собствени изчисления</w:t>
      </w:r>
    </w:p>
    <w:p w14:paraId="595586B2" w14:textId="77777777" w:rsidR="008B4C94" w:rsidRPr="008B4C94" w:rsidRDefault="008B4C94" w:rsidP="008B4C94">
      <w:pPr>
        <w:spacing w:line="360" w:lineRule="auto"/>
        <w:ind w:firstLine="720"/>
        <w:jc w:val="both"/>
        <w:rPr>
          <w:rFonts w:ascii="Times New Roman" w:hAnsi="Times New Roman" w:cs="Times New Roman"/>
          <w:lang w:val="bg-BG"/>
        </w:rPr>
      </w:pPr>
      <w:r w:rsidRPr="008B4C94">
        <w:rPr>
          <w:rFonts w:ascii="Times New Roman" w:hAnsi="Times New Roman" w:cs="Times New Roman"/>
          <w:lang w:val="bg-BG"/>
        </w:rPr>
        <w:t>Аналогични резултати се наблюдават и в Казус 2 (животновъдно стопанство, Северен централен район):</w:t>
      </w:r>
    </w:p>
    <w:p w14:paraId="2A46745B" w14:textId="77777777" w:rsidR="00A01624" w:rsidRPr="00333346" w:rsidRDefault="00A01624" w:rsidP="00A01624">
      <w:pPr>
        <w:spacing w:line="360" w:lineRule="auto"/>
        <w:ind w:firstLine="720"/>
        <w:jc w:val="center"/>
        <w:rPr>
          <w:rFonts w:ascii="Times New Roman" w:eastAsia="Times New Roman" w:hAnsi="Times New Roman"/>
          <w:bCs/>
          <w:lang w:val="bg-BG"/>
        </w:rPr>
      </w:pPr>
      <w:bookmarkStart w:id="20" w:name="_Toc228919034"/>
      <w:r w:rsidRPr="00333346">
        <w:rPr>
          <w:rFonts w:ascii="Times New Roman" w:eastAsia="Times New Roman" w:hAnsi="Times New Roman"/>
          <w:bCs/>
          <w:lang w:val="bg-BG"/>
        </w:rPr>
        <w:t xml:space="preserve">Таблица </w:t>
      </w:r>
      <w:r w:rsidRPr="00333346">
        <w:rPr>
          <w:rFonts w:ascii="Times New Roman" w:eastAsia="Times New Roman" w:hAnsi="Times New Roman"/>
          <w:bCs/>
          <w:lang w:val="bg-BG"/>
        </w:rPr>
        <w:fldChar w:fldCharType="begin"/>
      </w:r>
      <w:r w:rsidRPr="00333346">
        <w:rPr>
          <w:rFonts w:ascii="Times New Roman" w:eastAsia="Times New Roman" w:hAnsi="Times New Roman"/>
          <w:bCs/>
          <w:lang w:val="bg-BG"/>
        </w:rPr>
        <w:instrText xml:space="preserve"> SEQ Таблица \* ARABIC </w:instrText>
      </w:r>
      <w:r w:rsidRPr="00333346">
        <w:rPr>
          <w:rFonts w:ascii="Times New Roman" w:eastAsia="Times New Roman" w:hAnsi="Times New Roman"/>
          <w:bCs/>
          <w:lang w:val="bg-BG"/>
        </w:rPr>
        <w:fldChar w:fldCharType="separate"/>
      </w:r>
      <w:r>
        <w:rPr>
          <w:rFonts w:ascii="Times New Roman" w:eastAsia="Times New Roman" w:hAnsi="Times New Roman"/>
          <w:bCs/>
          <w:noProof/>
          <w:lang w:val="bg-BG"/>
        </w:rPr>
        <w:t>25</w:t>
      </w:r>
      <w:r w:rsidRPr="00333346">
        <w:rPr>
          <w:rFonts w:ascii="Times New Roman" w:eastAsia="Times New Roman" w:hAnsi="Times New Roman"/>
          <w:bCs/>
          <w:lang w:val="bg-BG"/>
        </w:rPr>
        <w:fldChar w:fldCharType="end"/>
      </w:r>
      <w:r w:rsidRPr="00333346">
        <w:rPr>
          <w:rFonts w:ascii="Times New Roman" w:eastAsia="Times New Roman" w:hAnsi="Times New Roman"/>
          <w:bCs/>
          <w:lang w:val="bg-BG"/>
        </w:rPr>
        <w:t xml:space="preserve"> </w:t>
      </w:r>
      <w:r w:rsidRPr="0032624C">
        <w:rPr>
          <w:rFonts w:ascii="Times New Roman" w:eastAsia="Times New Roman" w:hAnsi="Times New Roman"/>
          <w:bCs/>
          <w:lang w:val="bg-BG"/>
        </w:rPr>
        <w:t>Стойности на показателите за екологична ефективност при конвенционален и устойчив производствен модел — Казус 2: Животновъдно стопанство, Северен централен район (BG32)</w:t>
      </w:r>
      <w:bookmarkEnd w:id="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1"/>
        <w:gridCol w:w="1929"/>
        <w:gridCol w:w="1849"/>
        <w:gridCol w:w="1854"/>
        <w:gridCol w:w="1867"/>
      </w:tblGrid>
      <w:tr w:rsidR="00A01624" w:rsidRPr="00000B30" w14:paraId="081A50A2" w14:textId="77777777" w:rsidTr="00BA1CD0">
        <w:tc>
          <w:tcPr>
            <w:tcW w:w="1870" w:type="dxa"/>
          </w:tcPr>
          <w:p w14:paraId="6BEA7F07"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Показател</w:t>
            </w:r>
          </w:p>
        </w:tc>
        <w:tc>
          <w:tcPr>
            <w:tcW w:w="1870" w:type="dxa"/>
          </w:tcPr>
          <w:p w14:paraId="1E1823AF"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Конвенционален модел</w:t>
            </w:r>
          </w:p>
        </w:tc>
        <w:tc>
          <w:tcPr>
            <w:tcW w:w="1870" w:type="dxa"/>
          </w:tcPr>
          <w:p w14:paraId="1F1DB908"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Устойчив модел</w:t>
            </w:r>
          </w:p>
        </w:tc>
        <w:tc>
          <w:tcPr>
            <w:tcW w:w="1870" w:type="dxa"/>
          </w:tcPr>
          <w:p w14:paraId="5250342F"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Изменение (%)</w:t>
            </w:r>
          </w:p>
        </w:tc>
        <w:tc>
          <w:tcPr>
            <w:tcW w:w="1870" w:type="dxa"/>
          </w:tcPr>
          <w:p w14:paraId="69EEC577"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Интерпретация</w:t>
            </w:r>
          </w:p>
        </w:tc>
      </w:tr>
      <w:tr w:rsidR="00A01624" w:rsidRPr="00000B30" w14:paraId="2194E1E7" w14:textId="77777777" w:rsidTr="00BA1CD0">
        <w:tc>
          <w:tcPr>
            <w:tcW w:w="1870" w:type="dxa"/>
          </w:tcPr>
          <w:p w14:paraId="749407A1"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F (kg/глава)</w:t>
            </w:r>
          </w:p>
        </w:tc>
        <w:tc>
          <w:tcPr>
            <w:tcW w:w="1870" w:type="dxa"/>
          </w:tcPr>
          <w:p w14:paraId="6DF58ED7"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3,650</w:t>
            </w:r>
          </w:p>
        </w:tc>
        <w:tc>
          <w:tcPr>
            <w:tcW w:w="1870" w:type="dxa"/>
          </w:tcPr>
          <w:p w14:paraId="0075C8EB"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3,200</w:t>
            </w:r>
          </w:p>
        </w:tc>
        <w:tc>
          <w:tcPr>
            <w:tcW w:w="1870" w:type="dxa"/>
          </w:tcPr>
          <w:p w14:paraId="41A987C2" w14:textId="58C63E72" w:rsidR="00A01624" w:rsidRPr="00A01624" w:rsidRDefault="00A01624" w:rsidP="00BA1CD0">
            <w:pPr>
              <w:spacing w:after="0" w:line="240" w:lineRule="auto"/>
              <w:rPr>
                <w:rFonts w:ascii="Times New Roman" w:hAnsi="Times New Roman"/>
                <w:lang w:val="bg-BG"/>
              </w:rPr>
            </w:pPr>
            <w:r w:rsidRPr="00000B30">
              <w:rPr>
                <w:rFonts w:ascii="Times New Roman" w:hAnsi="Times New Roman"/>
              </w:rPr>
              <w:t>-12.3</w:t>
            </w:r>
          </w:p>
        </w:tc>
        <w:tc>
          <w:tcPr>
            <w:tcW w:w="1870" w:type="dxa"/>
          </w:tcPr>
          <w:p w14:paraId="1FC9F3A6"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Намалени фуражи</w:t>
            </w:r>
          </w:p>
        </w:tc>
      </w:tr>
      <w:tr w:rsidR="00A01624" w:rsidRPr="00000B30" w14:paraId="1BBA3474" w14:textId="77777777" w:rsidTr="00BA1CD0">
        <w:tc>
          <w:tcPr>
            <w:tcW w:w="1870" w:type="dxa"/>
          </w:tcPr>
          <w:p w14:paraId="67AB100A"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W (m³/глава)</w:t>
            </w:r>
          </w:p>
        </w:tc>
        <w:tc>
          <w:tcPr>
            <w:tcW w:w="1870" w:type="dxa"/>
          </w:tcPr>
          <w:p w14:paraId="28934785"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15.5</w:t>
            </w:r>
          </w:p>
        </w:tc>
        <w:tc>
          <w:tcPr>
            <w:tcW w:w="1870" w:type="dxa"/>
          </w:tcPr>
          <w:p w14:paraId="352B84C5"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12.2</w:t>
            </w:r>
          </w:p>
        </w:tc>
        <w:tc>
          <w:tcPr>
            <w:tcW w:w="1870" w:type="dxa"/>
          </w:tcPr>
          <w:p w14:paraId="61915008" w14:textId="48567075" w:rsidR="00A01624" w:rsidRPr="00A01624" w:rsidRDefault="00A01624" w:rsidP="00BA1CD0">
            <w:pPr>
              <w:spacing w:after="0" w:line="240" w:lineRule="auto"/>
              <w:rPr>
                <w:rFonts w:ascii="Times New Roman" w:hAnsi="Times New Roman"/>
                <w:lang w:val="bg-BG"/>
              </w:rPr>
            </w:pPr>
            <w:r w:rsidRPr="00000B30">
              <w:rPr>
                <w:rFonts w:ascii="Times New Roman" w:hAnsi="Times New Roman"/>
              </w:rPr>
              <w:t>-21.3</w:t>
            </w:r>
          </w:p>
        </w:tc>
        <w:tc>
          <w:tcPr>
            <w:tcW w:w="1870" w:type="dxa"/>
          </w:tcPr>
          <w:p w14:paraId="1EB83446"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По-ниска водна консумация</w:t>
            </w:r>
          </w:p>
        </w:tc>
      </w:tr>
      <w:tr w:rsidR="00A01624" w:rsidRPr="00000B30" w14:paraId="25E9FDD2" w14:textId="77777777" w:rsidTr="00BA1CD0">
        <w:tc>
          <w:tcPr>
            <w:tcW w:w="1870" w:type="dxa"/>
          </w:tcPr>
          <w:p w14:paraId="517B0382"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WP (t/m³)</w:t>
            </w:r>
          </w:p>
        </w:tc>
        <w:tc>
          <w:tcPr>
            <w:tcW w:w="1870" w:type="dxa"/>
          </w:tcPr>
          <w:p w14:paraId="774262FF"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0.045</w:t>
            </w:r>
          </w:p>
        </w:tc>
        <w:tc>
          <w:tcPr>
            <w:tcW w:w="1870" w:type="dxa"/>
          </w:tcPr>
          <w:p w14:paraId="48DCC97F"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0.059</w:t>
            </w:r>
          </w:p>
        </w:tc>
        <w:tc>
          <w:tcPr>
            <w:tcW w:w="1870" w:type="dxa"/>
          </w:tcPr>
          <w:p w14:paraId="592AE686" w14:textId="37251890" w:rsidR="00A01624" w:rsidRPr="00A01624" w:rsidRDefault="00A01624" w:rsidP="00BA1CD0">
            <w:pPr>
              <w:spacing w:after="0" w:line="240" w:lineRule="auto"/>
              <w:rPr>
                <w:rFonts w:ascii="Times New Roman" w:hAnsi="Times New Roman"/>
                <w:lang w:val="bg-BG"/>
              </w:rPr>
            </w:pPr>
            <w:r w:rsidRPr="00000B30">
              <w:rPr>
                <w:rFonts w:ascii="Times New Roman" w:hAnsi="Times New Roman"/>
              </w:rPr>
              <w:t>+31.1</w:t>
            </w:r>
          </w:p>
        </w:tc>
        <w:tc>
          <w:tcPr>
            <w:tcW w:w="1870" w:type="dxa"/>
          </w:tcPr>
          <w:p w14:paraId="5DDA9744" w14:textId="77777777" w:rsidR="00A01624" w:rsidRPr="00000B30" w:rsidRDefault="00A01624" w:rsidP="00BA1CD0">
            <w:pPr>
              <w:spacing w:after="0" w:line="240" w:lineRule="auto"/>
              <w:rPr>
                <w:rFonts w:ascii="Times New Roman" w:hAnsi="Times New Roman"/>
                <w:lang w:val="bg-BG"/>
              </w:rPr>
            </w:pPr>
            <w:r w:rsidRPr="00000B30">
              <w:rPr>
                <w:rFonts w:ascii="Times New Roman" w:hAnsi="Times New Roman"/>
              </w:rPr>
              <w:t>Повишена продуктивност</w:t>
            </w:r>
            <w:r w:rsidRPr="00000B30">
              <w:rPr>
                <w:rFonts w:ascii="Times New Roman" w:hAnsi="Times New Roman"/>
                <w:lang w:val="bg-BG"/>
              </w:rPr>
              <w:t xml:space="preserve"> на водата</w:t>
            </w:r>
          </w:p>
        </w:tc>
      </w:tr>
      <w:tr w:rsidR="00A01624" w:rsidRPr="00000B30" w14:paraId="35A594DD" w14:textId="77777777" w:rsidTr="00BA1CD0">
        <w:tc>
          <w:tcPr>
            <w:tcW w:w="1870" w:type="dxa"/>
          </w:tcPr>
          <w:p w14:paraId="1CBB2D45"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EE (лв./EI)</w:t>
            </w:r>
          </w:p>
        </w:tc>
        <w:tc>
          <w:tcPr>
            <w:tcW w:w="1870" w:type="dxa"/>
          </w:tcPr>
          <w:p w14:paraId="53C46A96"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2.10</w:t>
            </w:r>
          </w:p>
        </w:tc>
        <w:tc>
          <w:tcPr>
            <w:tcW w:w="1870" w:type="dxa"/>
          </w:tcPr>
          <w:p w14:paraId="3139D103"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2.94</w:t>
            </w:r>
          </w:p>
        </w:tc>
        <w:tc>
          <w:tcPr>
            <w:tcW w:w="1870" w:type="dxa"/>
          </w:tcPr>
          <w:p w14:paraId="121435BC" w14:textId="252C20E9" w:rsidR="00A01624" w:rsidRPr="00A01624" w:rsidRDefault="00A01624" w:rsidP="00BA1CD0">
            <w:pPr>
              <w:spacing w:after="0" w:line="240" w:lineRule="auto"/>
              <w:rPr>
                <w:rFonts w:ascii="Times New Roman" w:hAnsi="Times New Roman"/>
                <w:lang w:val="bg-BG"/>
              </w:rPr>
            </w:pPr>
            <w:r w:rsidRPr="00000B30">
              <w:rPr>
                <w:rFonts w:ascii="Times New Roman" w:hAnsi="Times New Roman"/>
              </w:rPr>
              <w:t>+40</w:t>
            </w:r>
          </w:p>
        </w:tc>
        <w:tc>
          <w:tcPr>
            <w:tcW w:w="1870" w:type="dxa"/>
          </w:tcPr>
          <w:p w14:paraId="2C5E3860" w14:textId="77777777" w:rsidR="00A01624" w:rsidRPr="00000B30" w:rsidRDefault="00A01624" w:rsidP="00BA1CD0">
            <w:pPr>
              <w:spacing w:after="0" w:line="240" w:lineRule="auto"/>
              <w:rPr>
                <w:rFonts w:ascii="Times New Roman" w:hAnsi="Times New Roman"/>
              </w:rPr>
            </w:pPr>
            <w:r w:rsidRPr="00000B30">
              <w:rPr>
                <w:rFonts w:ascii="Times New Roman" w:hAnsi="Times New Roman"/>
                <w:lang w:val="bg-BG"/>
              </w:rPr>
              <w:t>П</w:t>
            </w:r>
            <w:r w:rsidRPr="00000B30">
              <w:rPr>
                <w:rFonts w:ascii="Times New Roman" w:hAnsi="Times New Roman"/>
              </w:rPr>
              <w:t>овишена екологична ефективност</w:t>
            </w:r>
          </w:p>
        </w:tc>
      </w:tr>
      <w:tr w:rsidR="00A01624" w:rsidRPr="00000B30" w14:paraId="7F129E4B" w14:textId="77777777" w:rsidTr="00BA1CD0">
        <w:tc>
          <w:tcPr>
            <w:tcW w:w="1870" w:type="dxa"/>
          </w:tcPr>
          <w:p w14:paraId="2C4CC1E5"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ΔEE</w:t>
            </w:r>
          </w:p>
        </w:tc>
        <w:tc>
          <w:tcPr>
            <w:tcW w:w="1870" w:type="dxa"/>
          </w:tcPr>
          <w:p w14:paraId="17B73F57"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w:t>
            </w:r>
          </w:p>
        </w:tc>
        <w:tc>
          <w:tcPr>
            <w:tcW w:w="1870" w:type="dxa"/>
          </w:tcPr>
          <w:p w14:paraId="6C05BB94"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1.40</w:t>
            </w:r>
          </w:p>
        </w:tc>
        <w:tc>
          <w:tcPr>
            <w:tcW w:w="1870" w:type="dxa"/>
          </w:tcPr>
          <w:p w14:paraId="32FA07D7" w14:textId="28F740E5" w:rsidR="00A01624" w:rsidRPr="00A01624" w:rsidRDefault="00A01624" w:rsidP="00BA1CD0">
            <w:pPr>
              <w:spacing w:after="0" w:line="240" w:lineRule="auto"/>
              <w:rPr>
                <w:rFonts w:ascii="Times New Roman" w:hAnsi="Times New Roman"/>
                <w:b/>
                <w:lang w:val="bg-BG"/>
              </w:rPr>
            </w:pPr>
            <w:r w:rsidRPr="009238D1">
              <w:rPr>
                <w:rFonts w:ascii="Times New Roman" w:hAnsi="Times New Roman"/>
                <w:b/>
              </w:rPr>
              <w:t>+40</w:t>
            </w:r>
          </w:p>
        </w:tc>
        <w:tc>
          <w:tcPr>
            <w:tcW w:w="1870" w:type="dxa"/>
          </w:tcPr>
          <w:p w14:paraId="3D0B8C50" w14:textId="77777777" w:rsidR="00A01624" w:rsidRPr="00000B30" w:rsidRDefault="00A01624" w:rsidP="00BA1CD0">
            <w:pPr>
              <w:spacing w:after="0" w:line="240" w:lineRule="auto"/>
              <w:rPr>
                <w:rFonts w:ascii="Times New Roman" w:hAnsi="Times New Roman"/>
              </w:rPr>
            </w:pPr>
            <w:r w:rsidRPr="00000B30">
              <w:rPr>
                <w:rFonts w:ascii="Times New Roman" w:hAnsi="Times New Roman"/>
              </w:rPr>
              <w:t>Ясна положителна динамика</w:t>
            </w:r>
          </w:p>
        </w:tc>
      </w:tr>
    </w:tbl>
    <w:p w14:paraId="084F9D28" w14:textId="2C159815" w:rsidR="00A01624" w:rsidRPr="00DB17A1" w:rsidRDefault="00A01624" w:rsidP="00A01624">
      <w:pPr>
        <w:spacing w:line="360" w:lineRule="auto"/>
        <w:ind w:firstLine="720"/>
        <w:jc w:val="center"/>
        <w:rPr>
          <w:rFonts w:ascii="Times New Roman" w:eastAsia="Times New Roman" w:hAnsi="Times New Roman"/>
          <w:bCs/>
          <w:lang w:val="bg-BG"/>
        </w:rPr>
      </w:pPr>
      <w:r w:rsidRPr="00DB17A1">
        <w:rPr>
          <w:rFonts w:ascii="Times New Roman" w:eastAsia="Times New Roman" w:hAnsi="Times New Roman"/>
          <w:bCs/>
          <w:lang w:val="bg-BG"/>
        </w:rPr>
        <w:t>Източник: Собствени изчисления.</w:t>
      </w:r>
    </w:p>
    <w:p w14:paraId="1C877B98" w14:textId="77777777" w:rsidR="008B4C94" w:rsidRPr="008B4C94" w:rsidRDefault="008B4C94" w:rsidP="008B4C94">
      <w:pPr>
        <w:spacing w:line="360" w:lineRule="auto"/>
        <w:ind w:firstLine="720"/>
        <w:jc w:val="both"/>
        <w:rPr>
          <w:rFonts w:ascii="Times New Roman" w:hAnsi="Times New Roman" w:cs="Times New Roman"/>
          <w:lang w:val="bg-BG"/>
        </w:rPr>
      </w:pPr>
      <w:r w:rsidRPr="008B4C94">
        <w:rPr>
          <w:rFonts w:ascii="Times New Roman" w:hAnsi="Times New Roman" w:cs="Times New Roman"/>
          <w:lang w:val="bg-BG"/>
        </w:rPr>
        <w:t>Същата тенденция се потвърждава и в Казус 3 (стопанство с трайни насаждения, Югоизточен район):</w:t>
      </w:r>
    </w:p>
    <w:p w14:paraId="5AF7D7D8" w14:textId="77777777" w:rsidR="00A01624" w:rsidRPr="00333346" w:rsidRDefault="00A01624" w:rsidP="00A01624">
      <w:pPr>
        <w:spacing w:line="360" w:lineRule="auto"/>
        <w:ind w:firstLine="720"/>
        <w:jc w:val="center"/>
        <w:rPr>
          <w:rFonts w:ascii="Times New Roman" w:eastAsia="Times New Roman" w:hAnsi="Times New Roman"/>
          <w:bCs/>
          <w:lang w:val="bg-BG"/>
        </w:rPr>
      </w:pPr>
      <w:bookmarkStart w:id="21" w:name="_Toc228919035"/>
      <w:r w:rsidRPr="00333346">
        <w:rPr>
          <w:rFonts w:ascii="Times New Roman" w:eastAsia="Times New Roman" w:hAnsi="Times New Roman"/>
          <w:bCs/>
          <w:lang w:val="bg-BG"/>
        </w:rPr>
        <w:lastRenderedPageBreak/>
        <w:t xml:space="preserve">Таблица </w:t>
      </w:r>
      <w:r w:rsidRPr="00333346">
        <w:rPr>
          <w:rFonts w:ascii="Times New Roman" w:eastAsia="Times New Roman" w:hAnsi="Times New Roman"/>
          <w:bCs/>
          <w:lang w:val="bg-BG"/>
        </w:rPr>
        <w:fldChar w:fldCharType="begin"/>
      </w:r>
      <w:r w:rsidRPr="00333346">
        <w:rPr>
          <w:rFonts w:ascii="Times New Roman" w:eastAsia="Times New Roman" w:hAnsi="Times New Roman"/>
          <w:bCs/>
          <w:lang w:val="bg-BG"/>
        </w:rPr>
        <w:instrText xml:space="preserve"> SEQ Таблица \* ARABIC </w:instrText>
      </w:r>
      <w:r w:rsidRPr="00333346">
        <w:rPr>
          <w:rFonts w:ascii="Times New Roman" w:eastAsia="Times New Roman" w:hAnsi="Times New Roman"/>
          <w:bCs/>
          <w:lang w:val="bg-BG"/>
        </w:rPr>
        <w:fldChar w:fldCharType="separate"/>
      </w:r>
      <w:r>
        <w:rPr>
          <w:rFonts w:ascii="Times New Roman" w:eastAsia="Times New Roman" w:hAnsi="Times New Roman"/>
          <w:bCs/>
          <w:noProof/>
          <w:lang w:val="bg-BG"/>
        </w:rPr>
        <w:t>26</w:t>
      </w:r>
      <w:r w:rsidRPr="00333346">
        <w:rPr>
          <w:rFonts w:ascii="Times New Roman" w:eastAsia="Times New Roman" w:hAnsi="Times New Roman"/>
          <w:bCs/>
          <w:lang w:val="bg-BG"/>
        </w:rPr>
        <w:fldChar w:fldCharType="end"/>
      </w:r>
      <w:r w:rsidRPr="00333346">
        <w:rPr>
          <w:rFonts w:ascii="Times New Roman" w:eastAsia="Times New Roman" w:hAnsi="Times New Roman"/>
          <w:bCs/>
          <w:lang w:val="bg-BG"/>
        </w:rPr>
        <w:t xml:space="preserve"> </w:t>
      </w:r>
      <w:r w:rsidRPr="0032624C">
        <w:rPr>
          <w:rFonts w:ascii="Times New Roman" w:eastAsia="Times New Roman" w:hAnsi="Times New Roman"/>
          <w:bCs/>
          <w:lang w:val="bg-BG"/>
        </w:rPr>
        <w:t>Стойности на показателите за екологична ефективност при конвенционален и устойчив производствен модел — Казус 3: Стопанство с трайни насаждения, Югоизточен район (BG34)</w:t>
      </w:r>
      <w:bookmarkEnd w:id="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2048"/>
        <w:gridCol w:w="1777"/>
        <w:gridCol w:w="1798"/>
        <w:gridCol w:w="1925"/>
      </w:tblGrid>
      <w:tr w:rsidR="00A01624" w:rsidRPr="00EE6F4E" w14:paraId="68FC4FFB" w14:textId="77777777" w:rsidTr="00BA1CD0">
        <w:tc>
          <w:tcPr>
            <w:tcW w:w="1860" w:type="dxa"/>
          </w:tcPr>
          <w:p w14:paraId="71206AFC" w14:textId="77777777" w:rsidR="00A01624" w:rsidRPr="00333346" w:rsidRDefault="00A01624" w:rsidP="00BA1CD0">
            <w:pPr>
              <w:spacing w:after="0" w:line="240" w:lineRule="auto"/>
              <w:rPr>
                <w:rFonts w:ascii="Times New Roman" w:hAnsi="Times New Roman"/>
                <w:b/>
              </w:rPr>
            </w:pPr>
            <w:r w:rsidRPr="00333346">
              <w:rPr>
                <w:rFonts w:ascii="Times New Roman" w:hAnsi="Times New Roman"/>
                <w:b/>
              </w:rPr>
              <w:t>Показател</w:t>
            </w:r>
          </w:p>
        </w:tc>
        <w:tc>
          <w:tcPr>
            <w:tcW w:w="1904" w:type="dxa"/>
          </w:tcPr>
          <w:p w14:paraId="03B52682" w14:textId="77777777" w:rsidR="00A01624" w:rsidRPr="00333346" w:rsidRDefault="00A01624" w:rsidP="00BA1CD0">
            <w:pPr>
              <w:spacing w:after="0" w:line="240" w:lineRule="auto"/>
              <w:rPr>
                <w:rFonts w:ascii="Times New Roman" w:hAnsi="Times New Roman"/>
                <w:b/>
              </w:rPr>
            </w:pPr>
            <w:r w:rsidRPr="00333346">
              <w:rPr>
                <w:rFonts w:ascii="Times New Roman" w:hAnsi="Times New Roman"/>
                <w:b/>
              </w:rPr>
              <w:t>Конвенционален модел</w:t>
            </w:r>
          </w:p>
        </w:tc>
        <w:tc>
          <w:tcPr>
            <w:tcW w:w="1858" w:type="dxa"/>
          </w:tcPr>
          <w:p w14:paraId="5792FE80" w14:textId="77777777" w:rsidR="00A01624" w:rsidRPr="00333346" w:rsidRDefault="00A01624" w:rsidP="00BA1CD0">
            <w:pPr>
              <w:spacing w:after="0" w:line="240" w:lineRule="auto"/>
              <w:rPr>
                <w:rFonts w:ascii="Times New Roman" w:hAnsi="Times New Roman"/>
                <w:b/>
              </w:rPr>
            </w:pPr>
            <w:r w:rsidRPr="00333346">
              <w:rPr>
                <w:rFonts w:ascii="Times New Roman" w:hAnsi="Times New Roman"/>
                <w:b/>
              </w:rPr>
              <w:t>Устойчив модел</w:t>
            </w:r>
          </w:p>
        </w:tc>
        <w:tc>
          <w:tcPr>
            <w:tcW w:w="1860" w:type="dxa"/>
          </w:tcPr>
          <w:p w14:paraId="3D3A53F6" w14:textId="77777777" w:rsidR="00A01624" w:rsidRPr="00333346" w:rsidRDefault="00A01624" w:rsidP="00BA1CD0">
            <w:pPr>
              <w:spacing w:after="0" w:line="240" w:lineRule="auto"/>
              <w:rPr>
                <w:rFonts w:ascii="Times New Roman" w:hAnsi="Times New Roman"/>
                <w:b/>
              </w:rPr>
            </w:pPr>
            <w:r w:rsidRPr="00333346">
              <w:rPr>
                <w:rFonts w:ascii="Times New Roman" w:hAnsi="Times New Roman"/>
                <w:b/>
              </w:rPr>
              <w:t>Изменение (%)</w:t>
            </w:r>
          </w:p>
        </w:tc>
        <w:tc>
          <w:tcPr>
            <w:tcW w:w="1868" w:type="dxa"/>
          </w:tcPr>
          <w:p w14:paraId="01B3C795" w14:textId="77777777" w:rsidR="00A01624" w:rsidRPr="00333346" w:rsidRDefault="00A01624" w:rsidP="00BA1CD0">
            <w:pPr>
              <w:spacing w:after="0" w:line="240" w:lineRule="auto"/>
              <w:rPr>
                <w:rFonts w:ascii="Times New Roman" w:hAnsi="Times New Roman"/>
                <w:b/>
              </w:rPr>
            </w:pPr>
            <w:r w:rsidRPr="00333346">
              <w:rPr>
                <w:rFonts w:ascii="Times New Roman" w:hAnsi="Times New Roman"/>
                <w:b/>
              </w:rPr>
              <w:t>Интерпретация</w:t>
            </w:r>
          </w:p>
        </w:tc>
      </w:tr>
      <w:tr w:rsidR="00A01624" w:rsidRPr="00EE6F4E" w14:paraId="7D2AEA20" w14:textId="77777777" w:rsidTr="00BA1CD0">
        <w:tc>
          <w:tcPr>
            <w:tcW w:w="1860" w:type="dxa"/>
          </w:tcPr>
          <w:p w14:paraId="32953A83"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W (m³/ha)</w:t>
            </w:r>
          </w:p>
        </w:tc>
        <w:tc>
          <w:tcPr>
            <w:tcW w:w="1904" w:type="dxa"/>
          </w:tcPr>
          <w:p w14:paraId="21F27468"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2,400</w:t>
            </w:r>
          </w:p>
        </w:tc>
        <w:tc>
          <w:tcPr>
            <w:tcW w:w="1858" w:type="dxa"/>
          </w:tcPr>
          <w:p w14:paraId="6D6871D3"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1,850</w:t>
            </w:r>
          </w:p>
        </w:tc>
        <w:tc>
          <w:tcPr>
            <w:tcW w:w="1860" w:type="dxa"/>
          </w:tcPr>
          <w:p w14:paraId="5AE3A6C2" w14:textId="30815826" w:rsidR="00A01624" w:rsidRPr="00A01624" w:rsidRDefault="00A01624" w:rsidP="00BA1CD0">
            <w:pPr>
              <w:spacing w:after="0" w:line="240" w:lineRule="auto"/>
              <w:rPr>
                <w:rFonts w:ascii="Times New Roman" w:hAnsi="Times New Roman"/>
                <w:lang w:val="bg-BG"/>
              </w:rPr>
            </w:pPr>
            <w:r w:rsidRPr="00EE6F4E">
              <w:rPr>
                <w:rFonts w:ascii="Times New Roman" w:hAnsi="Times New Roman"/>
              </w:rPr>
              <w:t>-22.9</w:t>
            </w:r>
          </w:p>
        </w:tc>
        <w:tc>
          <w:tcPr>
            <w:tcW w:w="1868" w:type="dxa"/>
          </w:tcPr>
          <w:p w14:paraId="6A814B19"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Значителна икономия на вода</w:t>
            </w:r>
          </w:p>
        </w:tc>
      </w:tr>
      <w:tr w:rsidR="00A01624" w:rsidRPr="00EE6F4E" w14:paraId="50AD6B66" w14:textId="77777777" w:rsidTr="00BA1CD0">
        <w:tc>
          <w:tcPr>
            <w:tcW w:w="1860" w:type="dxa"/>
          </w:tcPr>
          <w:p w14:paraId="7264CAFA"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P (инт./ha)</w:t>
            </w:r>
          </w:p>
        </w:tc>
        <w:tc>
          <w:tcPr>
            <w:tcW w:w="1904" w:type="dxa"/>
          </w:tcPr>
          <w:p w14:paraId="1FCBD4AE"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16.3</w:t>
            </w:r>
          </w:p>
        </w:tc>
        <w:tc>
          <w:tcPr>
            <w:tcW w:w="1858" w:type="dxa"/>
          </w:tcPr>
          <w:p w14:paraId="69AAD46D"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11.5</w:t>
            </w:r>
          </w:p>
        </w:tc>
        <w:tc>
          <w:tcPr>
            <w:tcW w:w="1860" w:type="dxa"/>
          </w:tcPr>
          <w:p w14:paraId="59A442CC" w14:textId="6D1F842A" w:rsidR="00A01624" w:rsidRPr="00A01624" w:rsidRDefault="00A01624" w:rsidP="00BA1CD0">
            <w:pPr>
              <w:spacing w:after="0" w:line="240" w:lineRule="auto"/>
              <w:rPr>
                <w:rFonts w:ascii="Times New Roman" w:hAnsi="Times New Roman"/>
                <w:lang w:val="bg-BG"/>
              </w:rPr>
            </w:pPr>
            <w:r w:rsidRPr="00EE6F4E">
              <w:rPr>
                <w:rFonts w:ascii="Times New Roman" w:hAnsi="Times New Roman"/>
              </w:rPr>
              <w:t>-29.4</w:t>
            </w:r>
          </w:p>
        </w:tc>
        <w:tc>
          <w:tcPr>
            <w:tcW w:w="1868" w:type="dxa"/>
          </w:tcPr>
          <w:p w14:paraId="0DA366DA"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Намалена химическа натовареност</w:t>
            </w:r>
          </w:p>
        </w:tc>
      </w:tr>
      <w:tr w:rsidR="00A01624" w:rsidRPr="00EE6F4E" w14:paraId="4E09A26B" w14:textId="77777777" w:rsidTr="00BA1CD0">
        <w:tc>
          <w:tcPr>
            <w:tcW w:w="1860" w:type="dxa"/>
          </w:tcPr>
          <w:p w14:paraId="27FDF65B"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ΔSOM (%)</w:t>
            </w:r>
          </w:p>
        </w:tc>
        <w:tc>
          <w:tcPr>
            <w:tcW w:w="1904" w:type="dxa"/>
          </w:tcPr>
          <w:p w14:paraId="54E0D3C7"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-0.7</w:t>
            </w:r>
          </w:p>
        </w:tc>
        <w:tc>
          <w:tcPr>
            <w:tcW w:w="1858" w:type="dxa"/>
          </w:tcPr>
          <w:p w14:paraId="50296783"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+0.5</w:t>
            </w:r>
          </w:p>
        </w:tc>
        <w:tc>
          <w:tcPr>
            <w:tcW w:w="1860" w:type="dxa"/>
          </w:tcPr>
          <w:p w14:paraId="5F74EDD8" w14:textId="6D1E41B5" w:rsidR="00A01624" w:rsidRPr="00A01624" w:rsidRDefault="00A01624" w:rsidP="00BA1CD0">
            <w:pPr>
              <w:spacing w:after="0" w:line="240" w:lineRule="auto"/>
              <w:rPr>
                <w:rFonts w:ascii="Times New Roman" w:hAnsi="Times New Roman"/>
                <w:lang w:val="bg-BG"/>
              </w:rPr>
            </w:pPr>
            <w:r w:rsidRPr="00EE6F4E">
              <w:rPr>
                <w:rFonts w:ascii="Times New Roman" w:hAnsi="Times New Roman"/>
              </w:rPr>
              <w:t>+1.2</w:t>
            </w:r>
          </w:p>
        </w:tc>
        <w:tc>
          <w:tcPr>
            <w:tcW w:w="1868" w:type="dxa"/>
          </w:tcPr>
          <w:p w14:paraId="23D56ED5"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Подобрение на почвено здраве</w:t>
            </w:r>
          </w:p>
        </w:tc>
      </w:tr>
      <w:tr w:rsidR="00A01624" w:rsidRPr="00EE6F4E" w14:paraId="616DC77A" w14:textId="77777777" w:rsidTr="00BA1CD0">
        <w:tc>
          <w:tcPr>
            <w:tcW w:w="1860" w:type="dxa"/>
          </w:tcPr>
          <w:p w14:paraId="62A8AFD2"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Синтетичен EI (норм.)</w:t>
            </w:r>
          </w:p>
        </w:tc>
        <w:tc>
          <w:tcPr>
            <w:tcW w:w="1904" w:type="dxa"/>
          </w:tcPr>
          <w:p w14:paraId="7C6DFA08"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0.84</w:t>
            </w:r>
          </w:p>
        </w:tc>
        <w:tc>
          <w:tcPr>
            <w:tcW w:w="1858" w:type="dxa"/>
          </w:tcPr>
          <w:p w14:paraId="221DF095"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0.58</w:t>
            </w:r>
          </w:p>
        </w:tc>
        <w:tc>
          <w:tcPr>
            <w:tcW w:w="1860" w:type="dxa"/>
          </w:tcPr>
          <w:p w14:paraId="71A3385A" w14:textId="3CCB9FBC" w:rsidR="00A01624" w:rsidRPr="00A01624" w:rsidRDefault="00A01624" w:rsidP="00BA1CD0">
            <w:pPr>
              <w:spacing w:after="0" w:line="240" w:lineRule="auto"/>
              <w:rPr>
                <w:rFonts w:ascii="Times New Roman" w:hAnsi="Times New Roman"/>
                <w:lang w:val="bg-BG"/>
              </w:rPr>
            </w:pPr>
            <w:r w:rsidRPr="00EE6F4E">
              <w:rPr>
                <w:rFonts w:ascii="Times New Roman" w:hAnsi="Times New Roman"/>
              </w:rPr>
              <w:t>-30.9</w:t>
            </w:r>
          </w:p>
        </w:tc>
        <w:tc>
          <w:tcPr>
            <w:tcW w:w="1868" w:type="dxa"/>
          </w:tcPr>
          <w:p w14:paraId="1DB5C5B1"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Композитен индекс на натиск</w:t>
            </w:r>
          </w:p>
        </w:tc>
      </w:tr>
      <w:tr w:rsidR="00A01624" w:rsidRPr="00EE6F4E" w14:paraId="2A1F7EE2" w14:textId="77777777" w:rsidTr="00BA1CD0">
        <w:tc>
          <w:tcPr>
            <w:tcW w:w="1860" w:type="dxa"/>
          </w:tcPr>
          <w:p w14:paraId="4B8A8BA8"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EE (лв./EI)</w:t>
            </w:r>
          </w:p>
        </w:tc>
        <w:tc>
          <w:tcPr>
            <w:tcW w:w="1904" w:type="dxa"/>
          </w:tcPr>
          <w:p w14:paraId="1D1C7AEF"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2.62</w:t>
            </w:r>
          </w:p>
        </w:tc>
        <w:tc>
          <w:tcPr>
            <w:tcW w:w="1858" w:type="dxa"/>
          </w:tcPr>
          <w:p w14:paraId="68A4E090"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4.40</w:t>
            </w:r>
          </w:p>
        </w:tc>
        <w:tc>
          <w:tcPr>
            <w:tcW w:w="1860" w:type="dxa"/>
          </w:tcPr>
          <w:p w14:paraId="1847E7EE" w14:textId="6ABBC72F" w:rsidR="00A01624" w:rsidRPr="00A01624" w:rsidRDefault="00A01624" w:rsidP="00BA1CD0">
            <w:pPr>
              <w:spacing w:after="0" w:line="240" w:lineRule="auto"/>
              <w:rPr>
                <w:rFonts w:ascii="Times New Roman" w:hAnsi="Times New Roman"/>
                <w:lang w:val="bg-BG"/>
              </w:rPr>
            </w:pPr>
            <w:r w:rsidRPr="00EE6F4E">
              <w:rPr>
                <w:rFonts w:ascii="Times New Roman" w:hAnsi="Times New Roman"/>
              </w:rPr>
              <w:t>+67.9</w:t>
            </w:r>
          </w:p>
        </w:tc>
        <w:tc>
          <w:tcPr>
            <w:tcW w:w="1868" w:type="dxa"/>
          </w:tcPr>
          <w:p w14:paraId="1999535B"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Много силно повишение на ефективността</w:t>
            </w:r>
          </w:p>
        </w:tc>
      </w:tr>
      <w:tr w:rsidR="00A01624" w:rsidRPr="00EE6F4E" w14:paraId="6A881D67" w14:textId="77777777" w:rsidTr="00BA1CD0">
        <w:tc>
          <w:tcPr>
            <w:tcW w:w="1860" w:type="dxa"/>
          </w:tcPr>
          <w:p w14:paraId="1553801E"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ΔEE</w:t>
            </w:r>
          </w:p>
        </w:tc>
        <w:tc>
          <w:tcPr>
            <w:tcW w:w="1904" w:type="dxa"/>
          </w:tcPr>
          <w:p w14:paraId="3F66B479"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 xml:space="preserve"> - </w:t>
            </w:r>
          </w:p>
        </w:tc>
        <w:tc>
          <w:tcPr>
            <w:tcW w:w="1858" w:type="dxa"/>
          </w:tcPr>
          <w:p w14:paraId="62265AED"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1.68</w:t>
            </w:r>
          </w:p>
        </w:tc>
        <w:tc>
          <w:tcPr>
            <w:tcW w:w="1860" w:type="dxa"/>
          </w:tcPr>
          <w:p w14:paraId="747B0F2F" w14:textId="40D558C0" w:rsidR="00A01624" w:rsidRPr="00A01624" w:rsidRDefault="00A01624" w:rsidP="00BA1CD0">
            <w:pPr>
              <w:spacing w:after="0" w:line="240" w:lineRule="auto"/>
              <w:rPr>
                <w:rFonts w:ascii="Times New Roman" w:hAnsi="Times New Roman"/>
                <w:bCs/>
                <w:lang w:val="bg-BG"/>
              </w:rPr>
            </w:pPr>
            <w:r w:rsidRPr="00A01624">
              <w:rPr>
                <w:rFonts w:ascii="Times New Roman" w:hAnsi="Times New Roman"/>
                <w:bCs/>
              </w:rPr>
              <w:t>+68</w:t>
            </w:r>
          </w:p>
        </w:tc>
        <w:tc>
          <w:tcPr>
            <w:tcW w:w="1868" w:type="dxa"/>
          </w:tcPr>
          <w:p w14:paraId="30027D27" w14:textId="77777777" w:rsidR="00A01624" w:rsidRPr="00EE6F4E" w:rsidRDefault="00A01624" w:rsidP="00BA1CD0">
            <w:pPr>
              <w:spacing w:after="0" w:line="240" w:lineRule="auto"/>
              <w:rPr>
                <w:rFonts w:ascii="Times New Roman" w:hAnsi="Times New Roman"/>
              </w:rPr>
            </w:pPr>
            <w:r w:rsidRPr="00EE6F4E">
              <w:rPr>
                <w:rFonts w:ascii="Times New Roman" w:hAnsi="Times New Roman"/>
              </w:rPr>
              <w:t>Силно положителна промяна</w:t>
            </w:r>
          </w:p>
        </w:tc>
      </w:tr>
    </w:tbl>
    <w:p w14:paraId="02DCE944" w14:textId="77777777" w:rsidR="00A01624" w:rsidRPr="00EE6F4E" w:rsidRDefault="00A01624" w:rsidP="00A01624">
      <w:pPr>
        <w:spacing w:line="360" w:lineRule="auto"/>
        <w:ind w:firstLine="720"/>
        <w:jc w:val="center"/>
        <w:rPr>
          <w:rFonts w:ascii="Times New Roman" w:eastAsia="Times New Roman" w:hAnsi="Times New Roman"/>
          <w:bCs/>
          <w:lang w:val="bg-BG"/>
        </w:rPr>
      </w:pPr>
      <w:r w:rsidRPr="00EE6F4E">
        <w:rPr>
          <w:rFonts w:ascii="Times New Roman" w:eastAsia="Times New Roman" w:hAnsi="Times New Roman"/>
          <w:bCs/>
          <w:lang w:val="bg-BG"/>
        </w:rPr>
        <w:t>Източник: Собствени изчисления чрез агрегиран farm-gate eco-efficiency модел с нормализирани индикатори</w:t>
      </w:r>
    </w:p>
    <w:p w14:paraId="60E328F2" w14:textId="7DBBA06D" w:rsidR="00A01624" w:rsidRPr="00A01624" w:rsidRDefault="006E039F" w:rsidP="00A01624">
      <w:pPr>
        <w:spacing w:line="360" w:lineRule="auto"/>
        <w:ind w:firstLine="720"/>
        <w:jc w:val="both"/>
        <w:rPr>
          <w:rFonts w:ascii="Times New Roman" w:hAnsi="Times New Roman" w:cs="Times New Roman"/>
          <w:lang w:val="bg-BG"/>
        </w:rPr>
      </w:pPr>
      <w:r>
        <w:rPr>
          <w:rFonts w:ascii="Times New Roman" w:hAnsi="Times New Roman" w:cs="Times New Roman"/>
          <w:lang w:val="bg-BG"/>
        </w:rPr>
        <w:t xml:space="preserve">Следващата </w:t>
      </w:r>
      <w:r w:rsidR="00A01624" w:rsidRPr="00A01624">
        <w:rPr>
          <w:rFonts w:ascii="Times New Roman" w:hAnsi="Times New Roman" w:cs="Times New Roman"/>
          <w:lang w:val="bg-BG"/>
        </w:rPr>
        <w:t>част на главата е посветена на анализа на устойчивите практики за повишаване на икономическата ефективност чрез анкетно проучване и фокус групи. Общата характеристика на анкетираните стопанства е представена в следната таблица:</w:t>
      </w:r>
    </w:p>
    <w:p w14:paraId="31EA8F70" w14:textId="77777777" w:rsidR="00A01624" w:rsidRPr="00333346" w:rsidRDefault="00A01624" w:rsidP="00A01624">
      <w:pPr>
        <w:keepNext/>
        <w:keepLines/>
        <w:spacing w:before="40" w:after="0"/>
        <w:jc w:val="center"/>
        <w:outlineLvl w:val="5"/>
        <w:rPr>
          <w:rFonts w:ascii="Times New Roman" w:eastAsia="Times New Roman" w:hAnsi="Times New Roman"/>
          <w:color w:val="000000"/>
          <w:lang w:val="bg-BG"/>
        </w:rPr>
      </w:pPr>
      <w:bookmarkStart w:id="22" w:name="_Toc228919037"/>
      <w:r w:rsidRPr="00333346">
        <w:rPr>
          <w:rFonts w:ascii="Times New Roman" w:eastAsia="Times New Roman" w:hAnsi="Times New Roman"/>
          <w:color w:val="000000"/>
          <w:lang w:val="bg-BG"/>
        </w:rPr>
        <w:t xml:space="preserve">Таблица </w:t>
      </w:r>
      <w:r w:rsidRPr="00333346">
        <w:rPr>
          <w:rFonts w:ascii="Times New Roman" w:eastAsia="Times New Roman" w:hAnsi="Times New Roman"/>
          <w:color w:val="000000"/>
          <w:lang w:val="bg-BG"/>
        </w:rPr>
        <w:fldChar w:fldCharType="begin"/>
      </w:r>
      <w:r w:rsidRPr="00333346">
        <w:rPr>
          <w:rFonts w:ascii="Times New Roman" w:eastAsia="Times New Roman" w:hAnsi="Times New Roman"/>
          <w:color w:val="000000"/>
          <w:lang w:val="bg-BG"/>
        </w:rPr>
        <w:instrText xml:space="preserve"> SEQ Таблица \* ARABIC </w:instrText>
      </w:r>
      <w:r w:rsidRPr="00333346">
        <w:rPr>
          <w:rFonts w:ascii="Times New Roman" w:eastAsia="Times New Roman" w:hAnsi="Times New Roman"/>
          <w:color w:val="000000"/>
          <w:lang w:val="bg-BG"/>
        </w:rPr>
        <w:fldChar w:fldCharType="separate"/>
      </w:r>
      <w:r>
        <w:rPr>
          <w:rFonts w:ascii="Times New Roman" w:eastAsia="Times New Roman" w:hAnsi="Times New Roman"/>
          <w:noProof/>
          <w:color w:val="000000"/>
          <w:lang w:val="bg-BG"/>
        </w:rPr>
        <w:t>28</w:t>
      </w:r>
      <w:r w:rsidRPr="00333346">
        <w:rPr>
          <w:rFonts w:ascii="Times New Roman" w:eastAsia="Times New Roman" w:hAnsi="Times New Roman"/>
          <w:color w:val="000000"/>
          <w:lang w:val="bg-BG"/>
        </w:rPr>
        <w:fldChar w:fldCharType="end"/>
      </w:r>
      <w:r w:rsidRPr="00333346">
        <w:rPr>
          <w:rFonts w:ascii="Times New Roman" w:eastAsia="Times New Roman" w:hAnsi="Times New Roman"/>
          <w:color w:val="000000"/>
          <w:lang w:val="bg-BG"/>
        </w:rPr>
        <w:t xml:space="preserve"> Обща характеристика на анкетираните стопанства</w:t>
      </w:r>
      <w:bookmarkEnd w:id="22"/>
    </w:p>
    <w:tbl>
      <w:tblPr>
        <w:tblW w:w="7740" w:type="dxa"/>
        <w:jc w:val="center"/>
        <w:tblLook w:val="04A0" w:firstRow="1" w:lastRow="0" w:firstColumn="1" w:lastColumn="0" w:noHBand="0" w:noVBand="1"/>
      </w:tblPr>
      <w:tblGrid>
        <w:gridCol w:w="2801"/>
        <w:gridCol w:w="2320"/>
        <w:gridCol w:w="948"/>
        <w:gridCol w:w="1671"/>
      </w:tblGrid>
      <w:tr w:rsidR="00A01624" w:rsidRPr="00EE6F4E" w14:paraId="5C4DEFFB" w14:textId="77777777" w:rsidTr="00BA1CD0">
        <w:trPr>
          <w:trHeight w:val="300"/>
          <w:jc w:val="center"/>
        </w:trPr>
        <w:tc>
          <w:tcPr>
            <w:tcW w:w="2860" w:type="dxa"/>
            <w:tcBorders>
              <w:top w:val="single" w:sz="8" w:space="0" w:color="auto"/>
              <w:left w:val="single" w:sz="8" w:space="0" w:color="auto"/>
              <w:bottom w:val="single" w:sz="8" w:space="0" w:color="auto"/>
              <w:right w:val="single" w:sz="4" w:space="0" w:color="auto"/>
            </w:tcBorders>
            <w:vAlign w:val="center"/>
            <w:hideMark/>
          </w:tcPr>
          <w:p w14:paraId="0E8D97C7" w14:textId="77777777" w:rsidR="00A01624" w:rsidRPr="00EE6F4E" w:rsidRDefault="00A01624" w:rsidP="00BA1CD0">
            <w:pPr>
              <w:spacing w:after="0" w:line="240" w:lineRule="auto"/>
              <w:jc w:val="center"/>
              <w:rPr>
                <w:rFonts w:ascii="Times New Roman" w:eastAsia="Times New Roman" w:hAnsi="Times New Roman"/>
                <w:b/>
                <w:bCs/>
                <w:color w:val="000000"/>
              </w:rPr>
            </w:pPr>
            <w:r w:rsidRPr="00EE6F4E">
              <w:rPr>
                <w:rFonts w:ascii="Times New Roman" w:eastAsia="Times New Roman" w:hAnsi="Times New Roman"/>
                <w:b/>
                <w:bCs/>
                <w:color w:val="000000"/>
              </w:rPr>
              <w:t>Показател</w:t>
            </w:r>
          </w:p>
        </w:tc>
        <w:tc>
          <w:tcPr>
            <w:tcW w:w="2180" w:type="dxa"/>
            <w:tcBorders>
              <w:top w:val="single" w:sz="8" w:space="0" w:color="auto"/>
              <w:left w:val="nil"/>
              <w:bottom w:val="single" w:sz="8" w:space="0" w:color="auto"/>
              <w:right w:val="single" w:sz="4" w:space="0" w:color="auto"/>
            </w:tcBorders>
            <w:vAlign w:val="center"/>
            <w:hideMark/>
          </w:tcPr>
          <w:p w14:paraId="690469D5" w14:textId="77777777" w:rsidR="00A01624" w:rsidRPr="00EE6F4E" w:rsidRDefault="00A01624" w:rsidP="00BA1CD0">
            <w:pPr>
              <w:spacing w:after="0" w:line="240" w:lineRule="auto"/>
              <w:jc w:val="center"/>
              <w:rPr>
                <w:rFonts w:ascii="Times New Roman" w:eastAsia="Times New Roman" w:hAnsi="Times New Roman"/>
                <w:b/>
                <w:bCs/>
                <w:color w:val="000000"/>
              </w:rPr>
            </w:pPr>
            <w:r w:rsidRPr="00EE6F4E">
              <w:rPr>
                <w:rFonts w:ascii="Times New Roman" w:eastAsia="Times New Roman" w:hAnsi="Times New Roman"/>
                <w:b/>
                <w:bCs/>
                <w:color w:val="000000"/>
              </w:rPr>
              <w:t>Категория/Отговор</w:t>
            </w:r>
          </w:p>
        </w:tc>
        <w:tc>
          <w:tcPr>
            <w:tcW w:w="960" w:type="dxa"/>
            <w:tcBorders>
              <w:top w:val="single" w:sz="8" w:space="0" w:color="auto"/>
              <w:left w:val="nil"/>
              <w:bottom w:val="single" w:sz="8" w:space="0" w:color="auto"/>
              <w:right w:val="single" w:sz="4" w:space="0" w:color="auto"/>
            </w:tcBorders>
            <w:vAlign w:val="center"/>
            <w:hideMark/>
          </w:tcPr>
          <w:p w14:paraId="695D0796" w14:textId="77777777" w:rsidR="00A01624" w:rsidRPr="00EE6F4E" w:rsidRDefault="00A01624" w:rsidP="00BA1CD0">
            <w:pPr>
              <w:spacing w:after="0" w:line="240" w:lineRule="auto"/>
              <w:jc w:val="center"/>
              <w:rPr>
                <w:rFonts w:ascii="Times New Roman" w:eastAsia="Times New Roman" w:hAnsi="Times New Roman"/>
                <w:b/>
                <w:bCs/>
                <w:color w:val="000000"/>
              </w:rPr>
            </w:pPr>
            <w:r w:rsidRPr="00EE6F4E">
              <w:rPr>
                <w:rFonts w:ascii="Times New Roman" w:eastAsia="Times New Roman" w:hAnsi="Times New Roman"/>
                <w:b/>
                <w:bCs/>
                <w:color w:val="000000"/>
              </w:rPr>
              <w:t>Брой</w:t>
            </w:r>
          </w:p>
        </w:tc>
        <w:tc>
          <w:tcPr>
            <w:tcW w:w="1740" w:type="dxa"/>
            <w:tcBorders>
              <w:top w:val="single" w:sz="8" w:space="0" w:color="auto"/>
              <w:left w:val="nil"/>
              <w:bottom w:val="single" w:sz="8" w:space="0" w:color="auto"/>
              <w:right w:val="single" w:sz="8" w:space="0" w:color="auto"/>
            </w:tcBorders>
            <w:vAlign w:val="center"/>
            <w:hideMark/>
          </w:tcPr>
          <w:p w14:paraId="30F90552" w14:textId="77777777" w:rsidR="00A01624" w:rsidRPr="00EE6F4E" w:rsidRDefault="00A01624" w:rsidP="00BA1CD0">
            <w:pPr>
              <w:spacing w:after="0" w:line="240" w:lineRule="auto"/>
              <w:jc w:val="center"/>
              <w:rPr>
                <w:rFonts w:ascii="Times New Roman" w:eastAsia="Times New Roman" w:hAnsi="Times New Roman"/>
                <w:b/>
                <w:bCs/>
                <w:color w:val="000000"/>
              </w:rPr>
            </w:pPr>
            <w:r w:rsidRPr="00EE6F4E">
              <w:rPr>
                <w:rFonts w:ascii="Times New Roman" w:eastAsia="Times New Roman" w:hAnsi="Times New Roman"/>
                <w:b/>
                <w:bCs/>
                <w:color w:val="000000"/>
              </w:rPr>
              <w:t>Дял (%)</w:t>
            </w:r>
          </w:p>
        </w:tc>
      </w:tr>
      <w:tr w:rsidR="00A01624" w:rsidRPr="00EE6F4E" w14:paraId="2ED775EF" w14:textId="77777777" w:rsidTr="00BA1CD0">
        <w:trPr>
          <w:trHeight w:val="290"/>
          <w:jc w:val="center"/>
        </w:trPr>
        <w:tc>
          <w:tcPr>
            <w:tcW w:w="2860" w:type="dxa"/>
            <w:vMerge w:val="restart"/>
            <w:tcBorders>
              <w:top w:val="nil"/>
              <w:left w:val="single" w:sz="8" w:space="0" w:color="auto"/>
              <w:bottom w:val="single" w:sz="8" w:space="0" w:color="000000"/>
              <w:right w:val="single" w:sz="4" w:space="0" w:color="auto"/>
            </w:tcBorders>
            <w:vAlign w:val="center"/>
            <w:hideMark/>
          </w:tcPr>
          <w:p w14:paraId="34FC5E2E" w14:textId="77777777" w:rsidR="00A01624" w:rsidRPr="00EE6F4E" w:rsidRDefault="00A01624" w:rsidP="00BA1CD0">
            <w:pPr>
              <w:spacing w:after="0" w:line="240" w:lineRule="auto"/>
              <w:jc w:val="center"/>
              <w:rPr>
                <w:rFonts w:ascii="Times New Roman" w:eastAsia="Times New Roman" w:hAnsi="Times New Roman"/>
                <w:b/>
                <w:bCs/>
                <w:color w:val="000000"/>
              </w:rPr>
            </w:pPr>
            <w:r w:rsidRPr="00EE6F4E">
              <w:rPr>
                <w:rFonts w:ascii="Times New Roman" w:eastAsia="Times New Roman" w:hAnsi="Times New Roman"/>
                <w:b/>
                <w:bCs/>
                <w:color w:val="000000"/>
              </w:rPr>
              <w:t>Размер на стопанството</w:t>
            </w:r>
          </w:p>
        </w:tc>
        <w:tc>
          <w:tcPr>
            <w:tcW w:w="2180" w:type="dxa"/>
            <w:tcBorders>
              <w:top w:val="nil"/>
              <w:left w:val="nil"/>
              <w:bottom w:val="single" w:sz="4" w:space="0" w:color="auto"/>
              <w:right w:val="single" w:sz="4" w:space="0" w:color="auto"/>
            </w:tcBorders>
            <w:vAlign w:val="center"/>
            <w:hideMark/>
          </w:tcPr>
          <w:p w14:paraId="50B5D710"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Микро (до 5 ха)</w:t>
            </w:r>
          </w:p>
        </w:tc>
        <w:tc>
          <w:tcPr>
            <w:tcW w:w="960" w:type="dxa"/>
            <w:tcBorders>
              <w:top w:val="nil"/>
              <w:left w:val="nil"/>
              <w:bottom w:val="single" w:sz="4" w:space="0" w:color="auto"/>
              <w:right w:val="single" w:sz="4" w:space="0" w:color="auto"/>
            </w:tcBorders>
            <w:vAlign w:val="center"/>
            <w:hideMark/>
          </w:tcPr>
          <w:p w14:paraId="6B085E2C"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13</w:t>
            </w:r>
          </w:p>
        </w:tc>
        <w:tc>
          <w:tcPr>
            <w:tcW w:w="1740" w:type="dxa"/>
            <w:tcBorders>
              <w:top w:val="nil"/>
              <w:left w:val="nil"/>
              <w:bottom w:val="single" w:sz="4" w:space="0" w:color="auto"/>
              <w:right w:val="single" w:sz="8" w:space="0" w:color="auto"/>
            </w:tcBorders>
            <w:vAlign w:val="center"/>
            <w:hideMark/>
          </w:tcPr>
          <w:p w14:paraId="3B11A443"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14.1</w:t>
            </w:r>
          </w:p>
        </w:tc>
      </w:tr>
      <w:tr w:rsidR="00A01624" w:rsidRPr="00EE6F4E" w14:paraId="58602865" w14:textId="77777777" w:rsidTr="00BA1CD0">
        <w:trPr>
          <w:trHeight w:val="290"/>
          <w:jc w:val="center"/>
        </w:trPr>
        <w:tc>
          <w:tcPr>
            <w:tcW w:w="2860" w:type="dxa"/>
            <w:vMerge/>
            <w:tcBorders>
              <w:top w:val="nil"/>
              <w:left w:val="single" w:sz="8" w:space="0" w:color="auto"/>
              <w:bottom w:val="single" w:sz="8" w:space="0" w:color="000000"/>
              <w:right w:val="single" w:sz="4" w:space="0" w:color="auto"/>
            </w:tcBorders>
            <w:vAlign w:val="center"/>
            <w:hideMark/>
          </w:tcPr>
          <w:p w14:paraId="1AD41244"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nil"/>
              <w:bottom w:val="single" w:sz="4" w:space="0" w:color="auto"/>
              <w:right w:val="single" w:sz="4" w:space="0" w:color="auto"/>
            </w:tcBorders>
            <w:vAlign w:val="center"/>
            <w:hideMark/>
          </w:tcPr>
          <w:p w14:paraId="54CD7645"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Малко (5–20 ха)</w:t>
            </w:r>
          </w:p>
        </w:tc>
        <w:tc>
          <w:tcPr>
            <w:tcW w:w="960" w:type="dxa"/>
            <w:tcBorders>
              <w:top w:val="nil"/>
              <w:left w:val="nil"/>
              <w:bottom w:val="single" w:sz="4" w:space="0" w:color="auto"/>
              <w:right w:val="single" w:sz="4" w:space="0" w:color="auto"/>
            </w:tcBorders>
            <w:vAlign w:val="center"/>
            <w:hideMark/>
          </w:tcPr>
          <w:p w14:paraId="693F1E6A"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17</w:t>
            </w:r>
          </w:p>
        </w:tc>
        <w:tc>
          <w:tcPr>
            <w:tcW w:w="1740" w:type="dxa"/>
            <w:tcBorders>
              <w:top w:val="nil"/>
              <w:left w:val="nil"/>
              <w:bottom w:val="single" w:sz="4" w:space="0" w:color="auto"/>
              <w:right w:val="single" w:sz="8" w:space="0" w:color="auto"/>
            </w:tcBorders>
            <w:vAlign w:val="center"/>
            <w:hideMark/>
          </w:tcPr>
          <w:p w14:paraId="357EB12F"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18.5</w:t>
            </w:r>
          </w:p>
        </w:tc>
      </w:tr>
      <w:tr w:rsidR="00A01624" w:rsidRPr="00EE6F4E" w14:paraId="1BEFA54E" w14:textId="77777777" w:rsidTr="00BA1CD0">
        <w:trPr>
          <w:trHeight w:val="290"/>
          <w:jc w:val="center"/>
        </w:trPr>
        <w:tc>
          <w:tcPr>
            <w:tcW w:w="2860" w:type="dxa"/>
            <w:vMerge/>
            <w:tcBorders>
              <w:top w:val="nil"/>
              <w:left w:val="single" w:sz="8" w:space="0" w:color="auto"/>
              <w:bottom w:val="single" w:sz="8" w:space="0" w:color="000000"/>
              <w:right w:val="single" w:sz="4" w:space="0" w:color="auto"/>
            </w:tcBorders>
            <w:vAlign w:val="center"/>
            <w:hideMark/>
          </w:tcPr>
          <w:p w14:paraId="7BFAA01A"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nil"/>
              <w:bottom w:val="single" w:sz="4" w:space="0" w:color="auto"/>
              <w:right w:val="single" w:sz="4" w:space="0" w:color="auto"/>
            </w:tcBorders>
            <w:vAlign w:val="center"/>
            <w:hideMark/>
          </w:tcPr>
          <w:p w14:paraId="58DCF77C"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Средно (20–100 ха)</w:t>
            </w:r>
          </w:p>
        </w:tc>
        <w:tc>
          <w:tcPr>
            <w:tcW w:w="960" w:type="dxa"/>
            <w:tcBorders>
              <w:top w:val="nil"/>
              <w:left w:val="nil"/>
              <w:bottom w:val="single" w:sz="4" w:space="0" w:color="auto"/>
              <w:right w:val="single" w:sz="4" w:space="0" w:color="auto"/>
            </w:tcBorders>
            <w:vAlign w:val="center"/>
            <w:hideMark/>
          </w:tcPr>
          <w:p w14:paraId="300F3B92"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20</w:t>
            </w:r>
          </w:p>
        </w:tc>
        <w:tc>
          <w:tcPr>
            <w:tcW w:w="1740" w:type="dxa"/>
            <w:tcBorders>
              <w:top w:val="nil"/>
              <w:left w:val="nil"/>
              <w:bottom w:val="single" w:sz="4" w:space="0" w:color="auto"/>
              <w:right w:val="single" w:sz="8" w:space="0" w:color="auto"/>
            </w:tcBorders>
            <w:vAlign w:val="center"/>
            <w:hideMark/>
          </w:tcPr>
          <w:p w14:paraId="536D1C9D"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21.7</w:t>
            </w:r>
          </w:p>
        </w:tc>
      </w:tr>
      <w:tr w:rsidR="00A01624" w:rsidRPr="00EE6F4E" w14:paraId="780F13E0" w14:textId="77777777" w:rsidTr="00BA1CD0">
        <w:trPr>
          <w:trHeight w:val="290"/>
          <w:jc w:val="center"/>
        </w:trPr>
        <w:tc>
          <w:tcPr>
            <w:tcW w:w="2860" w:type="dxa"/>
            <w:vMerge/>
            <w:tcBorders>
              <w:top w:val="nil"/>
              <w:left w:val="single" w:sz="8" w:space="0" w:color="auto"/>
              <w:bottom w:val="single" w:sz="8" w:space="0" w:color="000000"/>
              <w:right w:val="single" w:sz="4" w:space="0" w:color="auto"/>
            </w:tcBorders>
            <w:vAlign w:val="center"/>
            <w:hideMark/>
          </w:tcPr>
          <w:p w14:paraId="53A554E3"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nil"/>
              <w:bottom w:val="single" w:sz="4" w:space="0" w:color="auto"/>
              <w:right w:val="single" w:sz="4" w:space="0" w:color="auto"/>
            </w:tcBorders>
            <w:vAlign w:val="center"/>
            <w:hideMark/>
          </w:tcPr>
          <w:p w14:paraId="08B6611C"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Голямо (100–500 ха)</w:t>
            </w:r>
          </w:p>
        </w:tc>
        <w:tc>
          <w:tcPr>
            <w:tcW w:w="960" w:type="dxa"/>
            <w:tcBorders>
              <w:top w:val="nil"/>
              <w:left w:val="nil"/>
              <w:bottom w:val="single" w:sz="4" w:space="0" w:color="auto"/>
              <w:right w:val="single" w:sz="4" w:space="0" w:color="auto"/>
            </w:tcBorders>
            <w:vAlign w:val="center"/>
            <w:hideMark/>
          </w:tcPr>
          <w:p w14:paraId="57B81E13"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24</w:t>
            </w:r>
          </w:p>
        </w:tc>
        <w:tc>
          <w:tcPr>
            <w:tcW w:w="1740" w:type="dxa"/>
            <w:tcBorders>
              <w:top w:val="nil"/>
              <w:left w:val="nil"/>
              <w:bottom w:val="single" w:sz="4" w:space="0" w:color="auto"/>
              <w:right w:val="single" w:sz="8" w:space="0" w:color="auto"/>
            </w:tcBorders>
            <w:vAlign w:val="center"/>
            <w:hideMark/>
          </w:tcPr>
          <w:p w14:paraId="4D66B3DD"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26.1</w:t>
            </w:r>
          </w:p>
        </w:tc>
      </w:tr>
      <w:tr w:rsidR="00A01624" w:rsidRPr="00EE6F4E" w14:paraId="5695A4AD" w14:textId="77777777" w:rsidTr="00BA1CD0">
        <w:trPr>
          <w:trHeight w:val="530"/>
          <w:jc w:val="center"/>
        </w:trPr>
        <w:tc>
          <w:tcPr>
            <w:tcW w:w="2860" w:type="dxa"/>
            <w:vMerge/>
            <w:tcBorders>
              <w:top w:val="nil"/>
              <w:left w:val="single" w:sz="8" w:space="0" w:color="auto"/>
              <w:bottom w:val="single" w:sz="8" w:space="0" w:color="000000"/>
              <w:right w:val="single" w:sz="4" w:space="0" w:color="auto"/>
            </w:tcBorders>
            <w:vAlign w:val="center"/>
            <w:hideMark/>
          </w:tcPr>
          <w:p w14:paraId="757A7C78"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nil"/>
              <w:bottom w:val="nil"/>
              <w:right w:val="single" w:sz="4" w:space="0" w:color="auto"/>
            </w:tcBorders>
            <w:vAlign w:val="center"/>
            <w:hideMark/>
          </w:tcPr>
          <w:p w14:paraId="770610C9"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Много голямо (над 500 ха)</w:t>
            </w:r>
          </w:p>
        </w:tc>
        <w:tc>
          <w:tcPr>
            <w:tcW w:w="960" w:type="dxa"/>
            <w:tcBorders>
              <w:top w:val="nil"/>
              <w:left w:val="nil"/>
              <w:bottom w:val="nil"/>
              <w:right w:val="single" w:sz="4" w:space="0" w:color="auto"/>
            </w:tcBorders>
            <w:vAlign w:val="center"/>
            <w:hideMark/>
          </w:tcPr>
          <w:p w14:paraId="3EBEDF56"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18</w:t>
            </w:r>
          </w:p>
        </w:tc>
        <w:tc>
          <w:tcPr>
            <w:tcW w:w="1740" w:type="dxa"/>
            <w:tcBorders>
              <w:top w:val="nil"/>
              <w:left w:val="nil"/>
              <w:bottom w:val="nil"/>
              <w:right w:val="single" w:sz="8" w:space="0" w:color="auto"/>
            </w:tcBorders>
            <w:vAlign w:val="center"/>
            <w:hideMark/>
          </w:tcPr>
          <w:p w14:paraId="3B8ACADF"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19.6</w:t>
            </w:r>
          </w:p>
        </w:tc>
      </w:tr>
      <w:tr w:rsidR="00A01624" w:rsidRPr="00EE6F4E" w14:paraId="7B05F089" w14:textId="77777777" w:rsidTr="00BA1CD0">
        <w:trPr>
          <w:trHeight w:val="290"/>
          <w:jc w:val="center"/>
        </w:trPr>
        <w:tc>
          <w:tcPr>
            <w:tcW w:w="2860" w:type="dxa"/>
            <w:vMerge w:val="restart"/>
            <w:tcBorders>
              <w:top w:val="nil"/>
              <w:left w:val="single" w:sz="8" w:space="0" w:color="auto"/>
              <w:bottom w:val="single" w:sz="8" w:space="0" w:color="000000"/>
              <w:right w:val="nil"/>
            </w:tcBorders>
            <w:vAlign w:val="center"/>
            <w:hideMark/>
          </w:tcPr>
          <w:p w14:paraId="45DB6E9E" w14:textId="77777777" w:rsidR="00A01624" w:rsidRPr="00EE6F4E" w:rsidRDefault="00A01624" w:rsidP="00BA1CD0">
            <w:pPr>
              <w:spacing w:after="0" w:line="240" w:lineRule="auto"/>
              <w:jc w:val="center"/>
              <w:rPr>
                <w:rFonts w:ascii="Times New Roman" w:eastAsia="Times New Roman" w:hAnsi="Times New Roman"/>
                <w:b/>
                <w:bCs/>
                <w:color w:val="000000"/>
              </w:rPr>
            </w:pPr>
            <w:r w:rsidRPr="00EE6F4E">
              <w:rPr>
                <w:rFonts w:ascii="Times New Roman" w:eastAsia="Times New Roman" w:hAnsi="Times New Roman"/>
                <w:b/>
                <w:bCs/>
                <w:color w:val="000000"/>
              </w:rPr>
              <w:t>Регион по NUTS-2</w:t>
            </w:r>
          </w:p>
        </w:tc>
        <w:tc>
          <w:tcPr>
            <w:tcW w:w="2180" w:type="dxa"/>
            <w:tcBorders>
              <w:top w:val="single" w:sz="8" w:space="0" w:color="auto"/>
              <w:left w:val="single" w:sz="8" w:space="0" w:color="auto"/>
              <w:bottom w:val="single" w:sz="4" w:space="0" w:color="auto"/>
              <w:right w:val="single" w:sz="4" w:space="0" w:color="auto"/>
            </w:tcBorders>
            <w:vAlign w:val="center"/>
            <w:hideMark/>
          </w:tcPr>
          <w:p w14:paraId="0E2F8136"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Северозападен (BG31)</w:t>
            </w:r>
          </w:p>
        </w:tc>
        <w:tc>
          <w:tcPr>
            <w:tcW w:w="960" w:type="dxa"/>
            <w:tcBorders>
              <w:top w:val="single" w:sz="8" w:space="0" w:color="auto"/>
              <w:left w:val="nil"/>
              <w:bottom w:val="single" w:sz="4" w:space="0" w:color="auto"/>
              <w:right w:val="single" w:sz="4" w:space="0" w:color="auto"/>
            </w:tcBorders>
            <w:vAlign w:val="center"/>
            <w:hideMark/>
          </w:tcPr>
          <w:p w14:paraId="4F7CB7FA"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14</w:t>
            </w:r>
          </w:p>
        </w:tc>
        <w:tc>
          <w:tcPr>
            <w:tcW w:w="1740" w:type="dxa"/>
            <w:tcBorders>
              <w:top w:val="single" w:sz="8" w:space="0" w:color="auto"/>
              <w:left w:val="nil"/>
              <w:bottom w:val="single" w:sz="4" w:space="0" w:color="auto"/>
              <w:right w:val="single" w:sz="8" w:space="0" w:color="auto"/>
            </w:tcBorders>
            <w:vAlign w:val="center"/>
            <w:hideMark/>
          </w:tcPr>
          <w:p w14:paraId="7EAAD6F8"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15.2</w:t>
            </w:r>
          </w:p>
        </w:tc>
      </w:tr>
      <w:tr w:rsidR="00A01624" w:rsidRPr="00EE6F4E" w14:paraId="6DF1BAA4" w14:textId="77777777" w:rsidTr="00BA1CD0">
        <w:trPr>
          <w:trHeight w:val="520"/>
          <w:jc w:val="center"/>
        </w:trPr>
        <w:tc>
          <w:tcPr>
            <w:tcW w:w="2860" w:type="dxa"/>
            <w:vMerge/>
            <w:tcBorders>
              <w:top w:val="nil"/>
              <w:left w:val="single" w:sz="8" w:space="0" w:color="auto"/>
              <w:bottom w:val="single" w:sz="8" w:space="0" w:color="000000"/>
              <w:right w:val="nil"/>
            </w:tcBorders>
            <w:vAlign w:val="center"/>
            <w:hideMark/>
          </w:tcPr>
          <w:p w14:paraId="2DE9AF22"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single" w:sz="8" w:space="0" w:color="auto"/>
              <w:bottom w:val="single" w:sz="4" w:space="0" w:color="auto"/>
              <w:right w:val="single" w:sz="4" w:space="0" w:color="auto"/>
            </w:tcBorders>
            <w:vAlign w:val="center"/>
            <w:hideMark/>
          </w:tcPr>
          <w:p w14:paraId="78F06C76"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Северен централен (BG32)</w:t>
            </w:r>
          </w:p>
        </w:tc>
        <w:tc>
          <w:tcPr>
            <w:tcW w:w="960" w:type="dxa"/>
            <w:tcBorders>
              <w:top w:val="nil"/>
              <w:left w:val="nil"/>
              <w:bottom w:val="single" w:sz="4" w:space="0" w:color="auto"/>
              <w:right w:val="single" w:sz="4" w:space="0" w:color="auto"/>
            </w:tcBorders>
            <w:vAlign w:val="center"/>
            <w:hideMark/>
          </w:tcPr>
          <w:p w14:paraId="3A7DE527"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16</w:t>
            </w:r>
          </w:p>
        </w:tc>
        <w:tc>
          <w:tcPr>
            <w:tcW w:w="1740" w:type="dxa"/>
            <w:tcBorders>
              <w:top w:val="nil"/>
              <w:left w:val="nil"/>
              <w:bottom w:val="single" w:sz="4" w:space="0" w:color="auto"/>
              <w:right w:val="single" w:sz="8" w:space="0" w:color="auto"/>
            </w:tcBorders>
            <w:vAlign w:val="center"/>
            <w:hideMark/>
          </w:tcPr>
          <w:p w14:paraId="0ACCCD6E"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17.4</w:t>
            </w:r>
          </w:p>
        </w:tc>
      </w:tr>
      <w:tr w:rsidR="00A01624" w:rsidRPr="00EE6F4E" w14:paraId="348B610D" w14:textId="77777777" w:rsidTr="00BA1CD0">
        <w:trPr>
          <w:trHeight w:val="290"/>
          <w:jc w:val="center"/>
        </w:trPr>
        <w:tc>
          <w:tcPr>
            <w:tcW w:w="2860" w:type="dxa"/>
            <w:vMerge/>
            <w:tcBorders>
              <w:top w:val="nil"/>
              <w:left w:val="single" w:sz="8" w:space="0" w:color="auto"/>
              <w:bottom w:val="single" w:sz="8" w:space="0" w:color="000000"/>
              <w:right w:val="nil"/>
            </w:tcBorders>
            <w:vAlign w:val="center"/>
            <w:hideMark/>
          </w:tcPr>
          <w:p w14:paraId="6D9222EE"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single" w:sz="8" w:space="0" w:color="auto"/>
              <w:bottom w:val="single" w:sz="4" w:space="0" w:color="auto"/>
              <w:right w:val="single" w:sz="4" w:space="0" w:color="auto"/>
            </w:tcBorders>
            <w:vAlign w:val="center"/>
            <w:hideMark/>
          </w:tcPr>
          <w:p w14:paraId="1A530052"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Североизточен (BG33)</w:t>
            </w:r>
          </w:p>
        </w:tc>
        <w:tc>
          <w:tcPr>
            <w:tcW w:w="960" w:type="dxa"/>
            <w:tcBorders>
              <w:top w:val="nil"/>
              <w:left w:val="nil"/>
              <w:bottom w:val="single" w:sz="4" w:space="0" w:color="auto"/>
              <w:right w:val="single" w:sz="4" w:space="0" w:color="auto"/>
            </w:tcBorders>
            <w:vAlign w:val="center"/>
            <w:hideMark/>
          </w:tcPr>
          <w:p w14:paraId="7D400701"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15</w:t>
            </w:r>
          </w:p>
        </w:tc>
        <w:tc>
          <w:tcPr>
            <w:tcW w:w="1740" w:type="dxa"/>
            <w:tcBorders>
              <w:top w:val="nil"/>
              <w:left w:val="nil"/>
              <w:bottom w:val="single" w:sz="4" w:space="0" w:color="auto"/>
              <w:right w:val="single" w:sz="8" w:space="0" w:color="auto"/>
            </w:tcBorders>
            <w:vAlign w:val="center"/>
            <w:hideMark/>
          </w:tcPr>
          <w:p w14:paraId="1C599A91"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16.3</w:t>
            </w:r>
          </w:p>
        </w:tc>
      </w:tr>
      <w:tr w:rsidR="00A01624" w:rsidRPr="00EE6F4E" w14:paraId="034DC011" w14:textId="77777777" w:rsidTr="00BA1CD0">
        <w:trPr>
          <w:trHeight w:val="290"/>
          <w:jc w:val="center"/>
        </w:trPr>
        <w:tc>
          <w:tcPr>
            <w:tcW w:w="2860" w:type="dxa"/>
            <w:vMerge/>
            <w:tcBorders>
              <w:top w:val="nil"/>
              <w:left w:val="single" w:sz="8" w:space="0" w:color="auto"/>
              <w:bottom w:val="single" w:sz="8" w:space="0" w:color="000000"/>
              <w:right w:val="nil"/>
            </w:tcBorders>
            <w:vAlign w:val="center"/>
            <w:hideMark/>
          </w:tcPr>
          <w:p w14:paraId="62170849"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single" w:sz="8" w:space="0" w:color="auto"/>
              <w:bottom w:val="single" w:sz="4" w:space="0" w:color="auto"/>
              <w:right w:val="single" w:sz="4" w:space="0" w:color="auto"/>
            </w:tcBorders>
            <w:vAlign w:val="center"/>
            <w:hideMark/>
          </w:tcPr>
          <w:p w14:paraId="28A5CD2F"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Югозападен (BG41)</w:t>
            </w:r>
          </w:p>
        </w:tc>
        <w:tc>
          <w:tcPr>
            <w:tcW w:w="960" w:type="dxa"/>
            <w:tcBorders>
              <w:top w:val="nil"/>
              <w:left w:val="nil"/>
              <w:bottom w:val="single" w:sz="4" w:space="0" w:color="auto"/>
              <w:right w:val="single" w:sz="4" w:space="0" w:color="auto"/>
            </w:tcBorders>
            <w:vAlign w:val="center"/>
            <w:hideMark/>
          </w:tcPr>
          <w:p w14:paraId="7BBD56CB"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14</w:t>
            </w:r>
          </w:p>
        </w:tc>
        <w:tc>
          <w:tcPr>
            <w:tcW w:w="1740" w:type="dxa"/>
            <w:tcBorders>
              <w:top w:val="nil"/>
              <w:left w:val="nil"/>
              <w:bottom w:val="single" w:sz="4" w:space="0" w:color="auto"/>
              <w:right w:val="single" w:sz="8" w:space="0" w:color="auto"/>
            </w:tcBorders>
            <w:vAlign w:val="center"/>
            <w:hideMark/>
          </w:tcPr>
          <w:p w14:paraId="29B797F8"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15.2</w:t>
            </w:r>
          </w:p>
        </w:tc>
      </w:tr>
      <w:tr w:rsidR="00A01624" w:rsidRPr="00EE6F4E" w14:paraId="0B7D0B1F" w14:textId="77777777" w:rsidTr="00BA1CD0">
        <w:trPr>
          <w:trHeight w:val="520"/>
          <w:jc w:val="center"/>
        </w:trPr>
        <w:tc>
          <w:tcPr>
            <w:tcW w:w="2860" w:type="dxa"/>
            <w:vMerge/>
            <w:tcBorders>
              <w:top w:val="nil"/>
              <w:left w:val="single" w:sz="8" w:space="0" w:color="auto"/>
              <w:bottom w:val="single" w:sz="8" w:space="0" w:color="000000"/>
              <w:right w:val="nil"/>
            </w:tcBorders>
            <w:vAlign w:val="center"/>
            <w:hideMark/>
          </w:tcPr>
          <w:p w14:paraId="58CDFDC7"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single" w:sz="8" w:space="0" w:color="auto"/>
              <w:bottom w:val="single" w:sz="4" w:space="0" w:color="auto"/>
              <w:right w:val="single" w:sz="4" w:space="0" w:color="auto"/>
            </w:tcBorders>
            <w:vAlign w:val="center"/>
            <w:hideMark/>
          </w:tcPr>
          <w:p w14:paraId="718D9E93"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Южен централен (BG42)</w:t>
            </w:r>
          </w:p>
        </w:tc>
        <w:tc>
          <w:tcPr>
            <w:tcW w:w="960" w:type="dxa"/>
            <w:tcBorders>
              <w:top w:val="nil"/>
              <w:left w:val="nil"/>
              <w:bottom w:val="single" w:sz="4" w:space="0" w:color="auto"/>
              <w:right w:val="single" w:sz="4" w:space="0" w:color="auto"/>
            </w:tcBorders>
            <w:vAlign w:val="center"/>
            <w:hideMark/>
          </w:tcPr>
          <w:p w14:paraId="610951BB"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18</w:t>
            </w:r>
          </w:p>
        </w:tc>
        <w:tc>
          <w:tcPr>
            <w:tcW w:w="1740" w:type="dxa"/>
            <w:tcBorders>
              <w:top w:val="nil"/>
              <w:left w:val="nil"/>
              <w:bottom w:val="single" w:sz="4" w:space="0" w:color="auto"/>
              <w:right w:val="single" w:sz="8" w:space="0" w:color="auto"/>
            </w:tcBorders>
            <w:vAlign w:val="center"/>
            <w:hideMark/>
          </w:tcPr>
          <w:p w14:paraId="3D91552A"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19.6</w:t>
            </w:r>
          </w:p>
        </w:tc>
      </w:tr>
      <w:tr w:rsidR="00A01624" w:rsidRPr="00EE6F4E" w14:paraId="415678E2" w14:textId="77777777" w:rsidTr="00BA1CD0">
        <w:trPr>
          <w:trHeight w:val="300"/>
          <w:jc w:val="center"/>
        </w:trPr>
        <w:tc>
          <w:tcPr>
            <w:tcW w:w="2860" w:type="dxa"/>
            <w:vMerge/>
            <w:tcBorders>
              <w:top w:val="nil"/>
              <w:left w:val="single" w:sz="8" w:space="0" w:color="auto"/>
              <w:bottom w:val="single" w:sz="8" w:space="0" w:color="000000"/>
              <w:right w:val="nil"/>
            </w:tcBorders>
            <w:vAlign w:val="center"/>
            <w:hideMark/>
          </w:tcPr>
          <w:p w14:paraId="57205617"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single" w:sz="8" w:space="0" w:color="auto"/>
              <w:bottom w:val="single" w:sz="8" w:space="0" w:color="auto"/>
              <w:right w:val="single" w:sz="4" w:space="0" w:color="auto"/>
            </w:tcBorders>
            <w:vAlign w:val="center"/>
            <w:hideMark/>
          </w:tcPr>
          <w:p w14:paraId="0E93822E"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Югоизточен (BG34)</w:t>
            </w:r>
          </w:p>
        </w:tc>
        <w:tc>
          <w:tcPr>
            <w:tcW w:w="960" w:type="dxa"/>
            <w:tcBorders>
              <w:top w:val="nil"/>
              <w:left w:val="nil"/>
              <w:bottom w:val="single" w:sz="8" w:space="0" w:color="auto"/>
              <w:right w:val="single" w:sz="4" w:space="0" w:color="auto"/>
            </w:tcBorders>
            <w:vAlign w:val="center"/>
            <w:hideMark/>
          </w:tcPr>
          <w:p w14:paraId="4BF5DFAC"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15</w:t>
            </w:r>
          </w:p>
        </w:tc>
        <w:tc>
          <w:tcPr>
            <w:tcW w:w="1740" w:type="dxa"/>
            <w:tcBorders>
              <w:top w:val="nil"/>
              <w:left w:val="nil"/>
              <w:bottom w:val="single" w:sz="8" w:space="0" w:color="auto"/>
              <w:right w:val="single" w:sz="8" w:space="0" w:color="auto"/>
            </w:tcBorders>
            <w:vAlign w:val="center"/>
            <w:hideMark/>
          </w:tcPr>
          <w:p w14:paraId="3292B5D5"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16.3</w:t>
            </w:r>
          </w:p>
        </w:tc>
      </w:tr>
      <w:tr w:rsidR="00A01624" w:rsidRPr="00EE6F4E" w14:paraId="7FFCD180" w14:textId="77777777" w:rsidTr="00BA1CD0">
        <w:trPr>
          <w:trHeight w:val="290"/>
          <w:jc w:val="center"/>
        </w:trPr>
        <w:tc>
          <w:tcPr>
            <w:tcW w:w="2860" w:type="dxa"/>
            <w:vMerge w:val="restart"/>
            <w:tcBorders>
              <w:top w:val="nil"/>
              <w:left w:val="single" w:sz="8" w:space="0" w:color="auto"/>
              <w:bottom w:val="single" w:sz="8" w:space="0" w:color="000000"/>
              <w:right w:val="single" w:sz="8" w:space="0" w:color="auto"/>
            </w:tcBorders>
            <w:vAlign w:val="center"/>
            <w:hideMark/>
          </w:tcPr>
          <w:p w14:paraId="2D683B09" w14:textId="77777777" w:rsidR="00A01624" w:rsidRPr="00EE6F4E" w:rsidRDefault="00A01624" w:rsidP="00BA1CD0">
            <w:pPr>
              <w:spacing w:after="0" w:line="240" w:lineRule="auto"/>
              <w:jc w:val="center"/>
              <w:rPr>
                <w:rFonts w:ascii="Times New Roman" w:eastAsia="Times New Roman" w:hAnsi="Times New Roman"/>
                <w:b/>
                <w:bCs/>
                <w:color w:val="000000"/>
              </w:rPr>
            </w:pPr>
            <w:r w:rsidRPr="00EE6F4E">
              <w:rPr>
                <w:rFonts w:ascii="Times New Roman" w:eastAsia="Times New Roman" w:hAnsi="Times New Roman"/>
                <w:b/>
                <w:bCs/>
                <w:color w:val="000000"/>
              </w:rPr>
              <w:t>Специализация</w:t>
            </w:r>
          </w:p>
        </w:tc>
        <w:tc>
          <w:tcPr>
            <w:tcW w:w="2180" w:type="dxa"/>
            <w:tcBorders>
              <w:top w:val="nil"/>
              <w:left w:val="nil"/>
              <w:bottom w:val="single" w:sz="4" w:space="0" w:color="auto"/>
              <w:right w:val="single" w:sz="4" w:space="0" w:color="auto"/>
            </w:tcBorders>
            <w:vAlign w:val="center"/>
            <w:hideMark/>
          </w:tcPr>
          <w:p w14:paraId="12ADA64F"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Полски култури</w:t>
            </w:r>
          </w:p>
        </w:tc>
        <w:tc>
          <w:tcPr>
            <w:tcW w:w="960" w:type="dxa"/>
            <w:tcBorders>
              <w:top w:val="nil"/>
              <w:left w:val="nil"/>
              <w:bottom w:val="single" w:sz="4" w:space="0" w:color="auto"/>
              <w:right w:val="single" w:sz="4" w:space="0" w:color="auto"/>
            </w:tcBorders>
            <w:vAlign w:val="center"/>
            <w:hideMark/>
          </w:tcPr>
          <w:p w14:paraId="2AD1D69A"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33</w:t>
            </w:r>
          </w:p>
        </w:tc>
        <w:tc>
          <w:tcPr>
            <w:tcW w:w="1740" w:type="dxa"/>
            <w:tcBorders>
              <w:top w:val="nil"/>
              <w:left w:val="nil"/>
              <w:bottom w:val="single" w:sz="4" w:space="0" w:color="auto"/>
              <w:right w:val="single" w:sz="8" w:space="0" w:color="auto"/>
            </w:tcBorders>
            <w:vAlign w:val="center"/>
            <w:hideMark/>
          </w:tcPr>
          <w:p w14:paraId="4F22AABC"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35.9</w:t>
            </w:r>
          </w:p>
        </w:tc>
      </w:tr>
      <w:tr w:rsidR="00A01624" w:rsidRPr="00EE6F4E" w14:paraId="455FECEA" w14:textId="77777777" w:rsidTr="00BA1CD0">
        <w:trPr>
          <w:trHeight w:val="290"/>
          <w:jc w:val="center"/>
        </w:trPr>
        <w:tc>
          <w:tcPr>
            <w:tcW w:w="2860" w:type="dxa"/>
            <w:vMerge/>
            <w:tcBorders>
              <w:top w:val="nil"/>
              <w:left w:val="single" w:sz="8" w:space="0" w:color="auto"/>
              <w:bottom w:val="single" w:sz="8" w:space="0" w:color="000000"/>
              <w:right w:val="single" w:sz="8" w:space="0" w:color="auto"/>
            </w:tcBorders>
            <w:vAlign w:val="center"/>
            <w:hideMark/>
          </w:tcPr>
          <w:p w14:paraId="20FE0839"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nil"/>
              <w:bottom w:val="single" w:sz="4" w:space="0" w:color="auto"/>
              <w:right w:val="single" w:sz="4" w:space="0" w:color="auto"/>
            </w:tcBorders>
            <w:vAlign w:val="center"/>
            <w:hideMark/>
          </w:tcPr>
          <w:p w14:paraId="4C8E3BC3"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Градинарство</w:t>
            </w:r>
          </w:p>
        </w:tc>
        <w:tc>
          <w:tcPr>
            <w:tcW w:w="960" w:type="dxa"/>
            <w:tcBorders>
              <w:top w:val="nil"/>
              <w:left w:val="nil"/>
              <w:bottom w:val="single" w:sz="4" w:space="0" w:color="auto"/>
              <w:right w:val="single" w:sz="4" w:space="0" w:color="auto"/>
            </w:tcBorders>
            <w:vAlign w:val="center"/>
            <w:hideMark/>
          </w:tcPr>
          <w:p w14:paraId="07978581"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6</w:t>
            </w:r>
          </w:p>
        </w:tc>
        <w:tc>
          <w:tcPr>
            <w:tcW w:w="1740" w:type="dxa"/>
            <w:tcBorders>
              <w:top w:val="nil"/>
              <w:left w:val="nil"/>
              <w:bottom w:val="single" w:sz="4" w:space="0" w:color="auto"/>
              <w:right w:val="single" w:sz="8" w:space="0" w:color="auto"/>
            </w:tcBorders>
            <w:vAlign w:val="center"/>
            <w:hideMark/>
          </w:tcPr>
          <w:p w14:paraId="5AE95B49"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6.5</w:t>
            </w:r>
          </w:p>
        </w:tc>
      </w:tr>
      <w:tr w:rsidR="00A01624" w:rsidRPr="00EE6F4E" w14:paraId="6384D5A0" w14:textId="77777777" w:rsidTr="00BA1CD0">
        <w:trPr>
          <w:trHeight w:val="290"/>
          <w:jc w:val="center"/>
        </w:trPr>
        <w:tc>
          <w:tcPr>
            <w:tcW w:w="2860" w:type="dxa"/>
            <w:vMerge/>
            <w:tcBorders>
              <w:top w:val="nil"/>
              <w:left w:val="single" w:sz="8" w:space="0" w:color="auto"/>
              <w:bottom w:val="single" w:sz="8" w:space="0" w:color="000000"/>
              <w:right w:val="single" w:sz="8" w:space="0" w:color="auto"/>
            </w:tcBorders>
            <w:vAlign w:val="center"/>
            <w:hideMark/>
          </w:tcPr>
          <w:p w14:paraId="0C10AE58"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nil"/>
              <w:bottom w:val="single" w:sz="4" w:space="0" w:color="auto"/>
              <w:right w:val="single" w:sz="4" w:space="0" w:color="auto"/>
            </w:tcBorders>
            <w:vAlign w:val="center"/>
            <w:hideMark/>
          </w:tcPr>
          <w:p w14:paraId="76FD1791" w14:textId="77777777" w:rsidR="00A01624" w:rsidRPr="00EE6F4E" w:rsidRDefault="00A01624" w:rsidP="00BA1CD0">
            <w:pPr>
              <w:spacing w:after="0" w:line="240" w:lineRule="auto"/>
              <w:jc w:val="center"/>
              <w:rPr>
                <w:rFonts w:ascii="Times New Roman" w:eastAsia="Times New Roman" w:hAnsi="Times New Roman"/>
                <w:color w:val="000000"/>
              </w:rPr>
            </w:pPr>
            <w:r>
              <w:rPr>
                <w:rFonts w:ascii="Times New Roman" w:eastAsia="Times New Roman" w:hAnsi="Times New Roman"/>
                <w:color w:val="000000"/>
              </w:rPr>
              <w:t>Лозарство</w:t>
            </w:r>
          </w:p>
        </w:tc>
        <w:tc>
          <w:tcPr>
            <w:tcW w:w="960" w:type="dxa"/>
            <w:tcBorders>
              <w:top w:val="nil"/>
              <w:left w:val="nil"/>
              <w:bottom w:val="single" w:sz="4" w:space="0" w:color="auto"/>
              <w:right w:val="single" w:sz="4" w:space="0" w:color="auto"/>
            </w:tcBorders>
            <w:vAlign w:val="center"/>
            <w:hideMark/>
          </w:tcPr>
          <w:p w14:paraId="667E1F51"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4</w:t>
            </w:r>
          </w:p>
        </w:tc>
        <w:tc>
          <w:tcPr>
            <w:tcW w:w="1740" w:type="dxa"/>
            <w:tcBorders>
              <w:top w:val="nil"/>
              <w:left w:val="nil"/>
              <w:bottom w:val="single" w:sz="4" w:space="0" w:color="auto"/>
              <w:right w:val="single" w:sz="8" w:space="0" w:color="auto"/>
            </w:tcBorders>
            <w:vAlign w:val="center"/>
            <w:hideMark/>
          </w:tcPr>
          <w:p w14:paraId="0F845A31"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4.3</w:t>
            </w:r>
          </w:p>
        </w:tc>
      </w:tr>
      <w:tr w:rsidR="00A01624" w:rsidRPr="00EE6F4E" w14:paraId="6DE1181C" w14:textId="77777777" w:rsidTr="00BA1CD0">
        <w:trPr>
          <w:trHeight w:val="290"/>
          <w:jc w:val="center"/>
        </w:trPr>
        <w:tc>
          <w:tcPr>
            <w:tcW w:w="2860" w:type="dxa"/>
            <w:vMerge/>
            <w:tcBorders>
              <w:top w:val="nil"/>
              <w:left w:val="single" w:sz="8" w:space="0" w:color="auto"/>
              <w:bottom w:val="single" w:sz="8" w:space="0" w:color="000000"/>
              <w:right w:val="single" w:sz="8" w:space="0" w:color="auto"/>
            </w:tcBorders>
            <w:vAlign w:val="center"/>
            <w:hideMark/>
          </w:tcPr>
          <w:p w14:paraId="7A04546E"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nil"/>
              <w:bottom w:val="single" w:sz="4" w:space="0" w:color="auto"/>
              <w:right w:val="single" w:sz="4" w:space="0" w:color="auto"/>
            </w:tcBorders>
            <w:vAlign w:val="center"/>
            <w:hideMark/>
          </w:tcPr>
          <w:p w14:paraId="13280317"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Трайни насаждения</w:t>
            </w:r>
          </w:p>
        </w:tc>
        <w:tc>
          <w:tcPr>
            <w:tcW w:w="960" w:type="dxa"/>
            <w:tcBorders>
              <w:top w:val="nil"/>
              <w:left w:val="nil"/>
              <w:bottom w:val="single" w:sz="4" w:space="0" w:color="auto"/>
              <w:right w:val="single" w:sz="4" w:space="0" w:color="auto"/>
            </w:tcBorders>
            <w:vAlign w:val="center"/>
            <w:hideMark/>
          </w:tcPr>
          <w:p w14:paraId="010B380A"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5</w:t>
            </w:r>
          </w:p>
        </w:tc>
        <w:tc>
          <w:tcPr>
            <w:tcW w:w="1740" w:type="dxa"/>
            <w:tcBorders>
              <w:top w:val="nil"/>
              <w:left w:val="nil"/>
              <w:bottom w:val="single" w:sz="4" w:space="0" w:color="auto"/>
              <w:right w:val="single" w:sz="8" w:space="0" w:color="auto"/>
            </w:tcBorders>
            <w:vAlign w:val="center"/>
            <w:hideMark/>
          </w:tcPr>
          <w:p w14:paraId="26719154"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5.4</w:t>
            </w:r>
          </w:p>
        </w:tc>
      </w:tr>
      <w:tr w:rsidR="00A01624" w:rsidRPr="00EE6F4E" w14:paraId="54945FEF" w14:textId="77777777" w:rsidTr="00BA1CD0">
        <w:trPr>
          <w:trHeight w:val="290"/>
          <w:jc w:val="center"/>
        </w:trPr>
        <w:tc>
          <w:tcPr>
            <w:tcW w:w="2860" w:type="dxa"/>
            <w:vMerge/>
            <w:tcBorders>
              <w:top w:val="nil"/>
              <w:left w:val="single" w:sz="8" w:space="0" w:color="auto"/>
              <w:bottom w:val="single" w:sz="8" w:space="0" w:color="000000"/>
              <w:right w:val="single" w:sz="8" w:space="0" w:color="auto"/>
            </w:tcBorders>
            <w:vAlign w:val="center"/>
            <w:hideMark/>
          </w:tcPr>
          <w:p w14:paraId="6F66D248"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nil"/>
              <w:bottom w:val="single" w:sz="4" w:space="0" w:color="auto"/>
              <w:right w:val="single" w:sz="4" w:space="0" w:color="auto"/>
            </w:tcBorders>
            <w:vAlign w:val="center"/>
            <w:hideMark/>
          </w:tcPr>
          <w:p w14:paraId="569E1029"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Млечно говедовъдство</w:t>
            </w:r>
          </w:p>
        </w:tc>
        <w:tc>
          <w:tcPr>
            <w:tcW w:w="960" w:type="dxa"/>
            <w:tcBorders>
              <w:top w:val="nil"/>
              <w:left w:val="nil"/>
              <w:bottom w:val="single" w:sz="4" w:space="0" w:color="auto"/>
              <w:right w:val="single" w:sz="4" w:space="0" w:color="auto"/>
            </w:tcBorders>
            <w:vAlign w:val="center"/>
            <w:hideMark/>
          </w:tcPr>
          <w:p w14:paraId="08DEE66A"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9</w:t>
            </w:r>
          </w:p>
        </w:tc>
        <w:tc>
          <w:tcPr>
            <w:tcW w:w="1740" w:type="dxa"/>
            <w:tcBorders>
              <w:top w:val="nil"/>
              <w:left w:val="nil"/>
              <w:bottom w:val="single" w:sz="4" w:space="0" w:color="auto"/>
              <w:right w:val="single" w:sz="8" w:space="0" w:color="auto"/>
            </w:tcBorders>
            <w:vAlign w:val="center"/>
            <w:hideMark/>
          </w:tcPr>
          <w:p w14:paraId="6A3A2B19"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9.8</w:t>
            </w:r>
          </w:p>
        </w:tc>
      </w:tr>
      <w:tr w:rsidR="00A01624" w:rsidRPr="00EE6F4E" w14:paraId="775C9A86" w14:textId="77777777" w:rsidTr="00BA1CD0">
        <w:trPr>
          <w:trHeight w:val="520"/>
          <w:jc w:val="center"/>
        </w:trPr>
        <w:tc>
          <w:tcPr>
            <w:tcW w:w="2860" w:type="dxa"/>
            <w:vMerge/>
            <w:tcBorders>
              <w:top w:val="nil"/>
              <w:left w:val="single" w:sz="8" w:space="0" w:color="auto"/>
              <w:bottom w:val="single" w:sz="8" w:space="0" w:color="000000"/>
              <w:right w:val="single" w:sz="8" w:space="0" w:color="auto"/>
            </w:tcBorders>
            <w:vAlign w:val="center"/>
            <w:hideMark/>
          </w:tcPr>
          <w:p w14:paraId="5B312558"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nil"/>
              <w:bottom w:val="single" w:sz="4" w:space="0" w:color="auto"/>
              <w:right w:val="single" w:sz="4" w:space="0" w:color="auto"/>
            </w:tcBorders>
            <w:vAlign w:val="center"/>
            <w:hideMark/>
          </w:tcPr>
          <w:p w14:paraId="077292CA"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Други пасищни животни</w:t>
            </w:r>
          </w:p>
        </w:tc>
        <w:tc>
          <w:tcPr>
            <w:tcW w:w="960" w:type="dxa"/>
            <w:tcBorders>
              <w:top w:val="nil"/>
              <w:left w:val="nil"/>
              <w:bottom w:val="single" w:sz="4" w:space="0" w:color="auto"/>
              <w:right w:val="single" w:sz="4" w:space="0" w:color="auto"/>
            </w:tcBorders>
            <w:vAlign w:val="center"/>
            <w:hideMark/>
          </w:tcPr>
          <w:p w14:paraId="5175FF7C"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7</w:t>
            </w:r>
          </w:p>
        </w:tc>
        <w:tc>
          <w:tcPr>
            <w:tcW w:w="1740" w:type="dxa"/>
            <w:tcBorders>
              <w:top w:val="nil"/>
              <w:left w:val="nil"/>
              <w:bottom w:val="single" w:sz="4" w:space="0" w:color="auto"/>
              <w:right w:val="single" w:sz="8" w:space="0" w:color="auto"/>
            </w:tcBorders>
            <w:vAlign w:val="center"/>
            <w:hideMark/>
          </w:tcPr>
          <w:p w14:paraId="36D7296A"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7.6</w:t>
            </w:r>
          </w:p>
        </w:tc>
      </w:tr>
      <w:tr w:rsidR="00A01624" w:rsidRPr="00EE6F4E" w14:paraId="6F0B381D" w14:textId="77777777" w:rsidTr="00BA1CD0">
        <w:trPr>
          <w:trHeight w:val="520"/>
          <w:jc w:val="center"/>
        </w:trPr>
        <w:tc>
          <w:tcPr>
            <w:tcW w:w="2860" w:type="dxa"/>
            <w:vMerge/>
            <w:tcBorders>
              <w:top w:val="nil"/>
              <w:left w:val="single" w:sz="8" w:space="0" w:color="auto"/>
              <w:bottom w:val="single" w:sz="8" w:space="0" w:color="000000"/>
              <w:right w:val="single" w:sz="8" w:space="0" w:color="auto"/>
            </w:tcBorders>
            <w:vAlign w:val="center"/>
            <w:hideMark/>
          </w:tcPr>
          <w:p w14:paraId="36A110C6"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nil"/>
              <w:bottom w:val="single" w:sz="4" w:space="0" w:color="auto"/>
              <w:right w:val="single" w:sz="4" w:space="0" w:color="auto"/>
            </w:tcBorders>
            <w:vAlign w:val="center"/>
            <w:hideMark/>
          </w:tcPr>
          <w:p w14:paraId="5C0D4CC7"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Интензивно животновъдство</w:t>
            </w:r>
          </w:p>
        </w:tc>
        <w:tc>
          <w:tcPr>
            <w:tcW w:w="960" w:type="dxa"/>
            <w:tcBorders>
              <w:top w:val="nil"/>
              <w:left w:val="nil"/>
              <w:bottom w:val="single" w:sz="4" w:space="0" w:color="auto"/>
              <w:right w:val="single" w:sz="4" w:space="0" w:color="auto"/>
            </w:tcBorders>
            <w:vAlign w:val="center"/>
            <w:hideMark/>
          </w:tcPr>
          <w:p w14:paraId="054747C3"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6</w:t>
            </w:r>
          </w:p>
        </w:tc>
        <w:tc>
          <w:tcPr>
            <w:tcW w:w="1740" w:type="dxa"/>
            <w:tcBorders>
              <w:top w:val="nil"/>
              <w:left w:val="nil"/>
              <w:bottom w:val="single" w:sz="4" w:space="0" w:color="auto"/>
              <w:right w:val="single" w:sz="8" w:space="0" w:color="auto"/>
            </w:tcBorders>
            <w:vAlign w:val="center"/>
            <w:hideMark/>
          </w:tcPr>
          <w:p w14:paraId="1A98B2AC"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6.5</w:t>
            </w:r>
          </w:p>
        </w:tc>
      </w:tr>
      <w:tr w:rsidR="00A01624" w:rsidRPr="00EE6F4E" w14:paraId="570985C8" w14:textId="77777777" w:rsidTr="00BA1CD0">
        <w:trPr>
          <w:trHeight w:val="300"/>
          <w:jc w:val="center"/>
        </w:trPr>
        <w:tc>
          <w:tcPr>
            <w:tcW w:w="2860" w:type="dxa"/>
            <w:vMerge/>
            <w:tcBorders>
              <w:top w:val="nil"/>
              <w:left w:val="single" w:sz="8" w:space="0" w:color="auto"/>
              <w:bottom w:val="single" w:sz="8" w:space="0" w:color="000000"/>
              <w:right w:val="single" w:sz="8" w:space="0" w:color="auto"/>
            </w:tcBorders>
            <w:vAlign w:val="center"/>
            <w:hideMark/>
          </w:tcPr>
          <w:p w14:paraId="1C74A341"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nil"/>
              <w:bottom w:val="nil"/>
              <w:right w:val="single" w:sz="4" w:space="0" w:color="auto"/>
            </w:tcBorders>
            <w:vAlign w:val="center"/>
            <w:hideMark/>
          </w:tcPr>
          <w:p w14:paraId="41A7ABB0"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Смесено земеделие</w:t>
            </w:r>
          </w:p>
        </w:tc>
        <w:tc>
          <w:tcPr>
            <w:tcW w:w="960" w:type="dxa"/>
            <w:tcBorders>
              <w:top w:val="nil"/>
              <w:left w:val="nil"/>
              <w:bottom w:val="nil"/>
              <w:right w:val="single" w:sz="4" w:space="0" w:color="auto"/>
            </w:tcBorders>
            <w:vAlign w:val="center"/>
            <w:hideMark/>
          </w:tcPr>
          <w:p w14:paraId="587245D2"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22</w:t>
            </w:r>
          </w:p>
        </w:tc>
        <w:tc>
          <w:tcPr>
            <w:tcW w:w="1740" w:type="dxa"/>
            <w:tcBorders>
              <w:top w:val="nil"/>
              <w:left w:val="nil"/>
              <w:bottom w:val="nil"/>
              <w:right w:val="single" w:sz="8" w:space="0" w:color="auto"/>
            </w:tcBorders>
            <w:vAlign w:val="center"/>
            <w:hideMark/>
          </w:tcPr>
          <w:p w14:paraId="32ED5CAF"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23.9</w:t>
            </w:r>
          </w:p>
        </w:tc>
      </w:tr>
      <w:tr w:rsidR="00A01624" w:rsidRPr="00EE6F4E" w14:paraId="78BBD90D" w14:textId="77777777" w:rsidTr="00BA1CD0">
        <w:trPr>
          <w:trHeight w:val="520"/>
          <w:jc w:val="center"/>
        </w:trPr>
        <w:tc>
          <w:tcPr>
            <w:tcW w:w="2860" w:type="dxa"/>
            <w:vMerge w:val="restart"/>
            <w:tcBorders>
              <w:top w:val="nil"/>
              <w:left w:val="single" w:sz="8" w:space="0" w:color="auto"/>
              <w:bottom w:val="single" w:sz="8" w:space="0" w:color="000000"/>
              <w:right w:val="nil"/>
            </w:tcBorders>
            <w:vAlign w:val="center"/>
            <w:hideMark/>
          </w:tcPr>
          <w:p w14:paraId="235E2C30" w14:textId="77777777" w:rsidR="00A01624" w:rsidRPr="00EE6F4E" w:rsidRDefault="00A01624" w:rsidP="00BA1CD0">
            <w:pPr>
              <w:spacing w:after="0" w:line="240" w:lineRule="auto"/>
              <w:jc w:val="center"/>
              <w:rPr>
                <w:rFonts w:ascii="Times New Roman" w:eastAsia="Times New Roman" w:hAnsi="Times New Roman"/>
                <w:b/>
                <w:bCs/>
                <w:color w:val="000000"/>
              </w:rPr>
            </w:pPr>
            <w:r w:rsidRPr="00EE6F4E">
              <w:rPr>
                <w:rFonts w:ascii="Times New Roman" w:eastAsia="Times New Roman" w:hAnsi="Times New Roman"/>
                <w:b/>
                <w:bCs/>
                <w:color w:val="000000"/>
              </w:rPr>
              <w:t>Правна форма</w:t>
            </w:r>
          </w:p>
        </w:tc>
        <w:tc>
          <w:tcPr>
            <w:tcW w:w="2180" w:type="dxa"/>
            <w:tcBorders>
              <w:top w:val="single" w:sz="8" w:space="0" w:color="auto"/>
              <w:left w:val="single" w:sz="8" w:space="0" w:color="auto"/>
              <w:bottom w:val="single" w:sz="4" w:space="0" w:color="auto"/>
              <w:right w:val="single" w:sz="4" w:space="0" w:color="auto"/>
            </w:tcBorders>
            <w:vAlign w:val="center"/>
            <w:hideMark/>
          </w:tcPr>
          <w:p w14:paraId="6ED201CE"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Земеделски производител (ЗП)</w:t>
            </w:r>
          </w:p>
        </w:tc>
        <w:tc>
          <w:tcPr>
            <w:tcW w:w="960" w:type="dxa"/>
            <w:tcBorders>
              <w:top w:val="single" w:sz="8" w:space="0" w:color="auto"/>
              <w:left w:val="nil"/>
              <w:bottom w:val="single" w:sz="4" w:space="0" w:color="auto"/>
              <w:right w:val="single" w:sz="4" w:space="0" w:color="auto"/>
            </w:tcBorders>
            <w:vAlign w:val="center"/>
            <w:hideMark/>
          </w:tcPr>
          <w:p w14:paraId="099C29E9"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47</w:t>
            </w:r>
          </w:p>
        </w:tc>
        <w:tc>
          <w:tcPr>
            <w:tcW w:w="1740" w:type="dxa"/>
            <w:tcBorders>
              <w:top w:val="single" w:sz="8" w:space="0" w:color="auto"/>
              <w:left w:val="nil"/>
              <w:bottom w:val="single" w:sz="4" w:space="0" w:color="auto"/>
              <w:right w:val="single" w:sz="8" w:space="0" w:color="auto"/>
            </w:tcBorders>
            <w:vAlign w:val="center"/>
            <w:hideMark/>
          </w:tcPr>
          <w:p w14:paraId="47007CAD"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51.1</w:t>
            </w:r>
          </w:p>
        </w:tc>
      </w:tr>
      <w:tr w:rsidR="00A01624" w:rsidRPr="00EE6F4E" w14:paraId="02D7C945" w14:textId="77777777" w:rsidTr="00BA1CD0">
        <w:trPr>
          <w:trHeight w:val="290"/>
          <w:jc w:val="center"/>
        </w:trPr>
        <w:tc>
          <w:tcPr>
            <w:tcW w:w="2860" w:type="dxa"/>
            <w:vMerge/>
            <w:tcBorders>
              <w:top w:val="nil"/>
              <w:left w:val="single" w:sz="8" w:space="0" w:color="auto"/>
              <w:bottom w:val="single" w:sz="8" w:space="0" w:color="000000"/>
              <w:right w:val="nil"/>
            </w:tcBorders>
            <w:vAlign w:val="center"/>
            <w:hideMark/>
          </w:tcPr>
          <w:p w14:paraId="5982D09E"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single" w:sz="8" w:space="0" w:color="auto"/>
              <w:bottom w:val="single" w:sz="4" w:space="0" w:color="auto"/>
              <w:right w:val="single" w:sz="4" w:space="0" w:color="auto"/>
            </w:tcBorders>
            <w:vAlign w:val="center"/>
            <w:hideMark/>
          </w:tcPr>
          <w:p w14:paraId="0A8A11D9"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Кооперация</w:t>
            </w:r>
          </w:p>
        </w:tc>
        <w:tc>
          <w:tcPr>
            <w:tcW w:w="960" w:type="dxa"/>
            <w:tcBorders>
              <w:top w:val="nil"/>
              <w:left w:val="nil"/>
              <w:bottom w:val="single" w:sz="4" w:space="0" w:color="auto"/>
              <w:right w:val="single" w:sz="4" w:space="0" w:color="auto"/>
            </w:tcBorders>
            <w:vAlign w:val="center"/>
            <w:hideMark/>
          </w:tcPr>
          <w:p w14:paraId="6DDB5A24"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20</w:t>
            </w:r>
          </w:p>
        </w:tc>
        <w:tc>
          <w:tcPr>
            <w:tcW w:w="1740" w:type="dxa"/>
            <w:tcBorders>
              <w:top w:val="nil"/>
              <w:left w:val="nil"/>
              <w:bottom w:val="single" w:sz="4" w:space="0" w:color="auto"/>
              <w:right w:val="single" w:sz="8" w:space="0" w:color="auto"/>
            </w:tcBorders>
            <w:vAlign w:val="center"/>
            <w:hideMark/>
          </w:tcPr>
          <w:p w14:paraId="131E0CA5"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21.7</w:t>
            </w:r>
          </w:p>
        </w:tc>
      </w:tr>
      <w:tr w:rsidR="00A01624" w:rsidRPr="00EE6F4E" w14:paraId="366A77AF" w14:textId="77777777" w:rsidTr="00BA1CD0">
        <w:trPr>
          <w:trHeight w:val="300"/>
          <w:jc w:val="center"/>
        </w:trPr>
        <w:tc>
          <w:tcPr>
            <w:tcW w:w="2860" w:type="dxa"/>
            <w:vMerge/>
            <w:tcBorders>
              <w:top w:val="nil"/>
              <w:left w:val="single" w:sz="8" w:space="0" w:color="auto"/>
              <w:bottom w:val="single" w:sz="8" w:space="0" w:color="000000"/>
              <w:right w:val="nil"/>
            </w:tcBorders>
            <w:vAlign w:val="center"/>
            <w:hideMark/>
          </w:tcPr>
          <w:p w14:paraId="2B511FCE" w14:textId="77777777" w:rsidR="00A01624" w:rsidRPr="00EE6F4E" w:rsidRDefault="00A01624" w:rsidP="00BA1CD0">
            <w:pPr>
              <w:spacing w:after="0" w:line="240" w:lineRule="auto"/>
              <w:jc w:val="center"/>
              <w:rPr>
                <w:rFonts w:ascii="Times New Roman" w:eastAsia="Times New Roman" w:hAnsi="Times New Roman"/>
                <w:b/>
                <w:bCs/>
                <w:color w:val="000000"/>
              </w:rPr>
            </w:pPr>
          </w:p>
        </w:tc>
        <w:tc>
          <w:tcPr>
            <w:tcW w:w="2180" w:type="dxa"/>
            <w:tcBorders>
              <w:top w:val="nil"/>
              <w:left w:val="single" w:sz="8" w:space="0" w:color="auto"/>
              <w:bottom w:val="single" w:sz="8" w:space="0" w:color="auto"/>
              <w:right w:val="single" w:sz="4" w:space="0" w:color="auto"/>
            </w:tcBorders>
            <w:vAlign w:val="center"/>
            <w:hideMark/>
          </w:tcPr>
          <w:p w14:paraId="623DDD1B"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Търговско дружество</w:t>
            </w:r>
          </w:p>
        </w:tc>
        <w:tc>
          <w:tcPr>
            <w:tcW w:w="960" w:type="dxa"/>
            <w:tcBorders>
              <w:top w:val="nil"/>
              <w:left w:val="nil"/>
              <w:bottom w:val="single" w:sz="8" w:space="0" w:color="auto"/>
              <w:right w:val="single" w:sz="4" w:space="0" w:color="auto"/>
            </w:tcBorders>
            <w:vAlign w:val="center"/>
            <w:hideMark/>
          </w:tcPr>
          <w:p w14:paraId="7A583949"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25</w:t>
            </w:r>
          </w:p>
        </w:tc>
        <w:tc>
          <w:tcPr>
            <w:tcW w:w="1740" w:type="dxa"/>
            <w:tcBorders>
              <w:top w:val="nil"/>
              <w:left w:val="nil"/>
              <w:bottom w:val="single" w:sz="8" w:space="0" w:color="auto"/>
              <w:right w:val="single" w:sz="8" w:space="0" w:color="auto"/>
            </w:tcBorders>
            <w:vAlign w:val="center"/>
            <w:hideMark/>
          </w:tcPr>
          <w:p w14:paraId="259A959D" w14:textId="77777777" w:rsidR="00A01624" w:rsidRPr="00EE6F4E" w:rsidRDefault="00A01624" w:rsidP="00BA1CD0">
            <w:pPr>
              <w:spacing w:after="0" w:line="240" w:lineRule="auto"/>
              <w:jc w:val="center"/>
              <w:rPr>
                <w:rFonts w:ascii="Times New Roman" w:eastAsia="Times New Roman" w:hAnsi="Times New Roman"/>
                <w:color w:val="000000"/>
              </w:rPr>
            </w:pPr>
            <w:r w:rsidRPr="00EE6F4E">
              <w:rPr>
                <w:rFonts w:ascii="Times New Roman" w:eastAsia="Times New Roman" w:hAnsi="Times New Roman"/>
                <w:color w:val="000000"/>
              </w:rPr>
              <w:t>27.2</w:t>
            </w:r>
          </w:p>
        </w:tc>
      </w:tr>
    </w:tbl>
    <w:p w14:paraId="2D7E51A3" w14:textId="77777777" w:rsidR="00A01624" w:rsidRPr="00EE6F4E" w:rsidRDefault="00A01624" w:rsidP="00A01624">
      <w:pPr>
        <w:spacing w:line="360" w:lineRule="auto"/>
        <w:jc w:val="center"/>
        <w:rPr>
          <w:rFonts w:ascii="Times New Roman" w:eastAsia="Times New Roman" w:hAnsi="Times New Roman"/>
          <w:lang w:val="bg-BG"/>
        </w:rPr>
      </w:pPr>
      <w:r w:rsidRPr="00EE6F4E">
        <w:rPr>
          <w:rFonts w:ascii="Times New Roman" w:eastAsia="Times New Roman" w:hAnsi="Times New Roman"/>
          <w:lang w:val="bg-BG"/>
        </w:rPr>
        <w:t>Източник: собствени изчисления</w:t>
      </w:r>
    </w:p>
    <w:p w14:paraId="09A9F61E" w14:textId="53232B63" w:rsidR="00A01624" w:rsidRPr="00A01624" w:rsidRDefault="00A01624" w:rsidP="00A01624">
      <w:pPr>
        <w:spacing w:line="360" w:lineRule="auto"/>
        <w:ind w:firstLine="720"/>
        <w:jc w:val="both"/>
        <w:rPr>
          <w:rFonts w:ascii="Times New Roman" w:hAnsi="Times New Roman" w:cs="Times New Roman"/>
          <w:lang w:val="bg-BG"/>
        </w:rPr>
      </w:pPr>
      <w:r w:rsidRPr="00A01624">
        <w:rPr>
          <w:rFonts w:ascii="Times New Roman" w:hAnsi="Times New Roman" w:cs="Times New Roman"/>
          <w:lang w:val="bg-BG"/>
        </w:rPr>
        <w:t>Резултатите показват, че степента на информираност на българските земеделски стопани относно Зелената сделка е все още ниска. Основните пречки пред внедряването на устойчиви практики са свързани с високи първоначални разходи, липса на достъп до подходяща техника и технологии, недостатъчна информация и обучение, както и липса на икономически стимули. Степента на приложимост на различните устойчиви практики е показана в следната таблица:</w:t>
      </w:r>
    </w:p>
    <w:p w14:paraId="5853A1D5" w14:textId="77777777" w:rsidR="00A01624" w:rsidRPr="003E45F8" w:rsidRDefault="00A01624" w:rsidP="00A01624">
      <w:pPr>
        <w:keepNext/>
        <w:keepLines/>
        <w:spacing w:before="40" w:after="0"/>
        <w:jc w:val="center"/>
        <w:outlineLvl w:val="5"/>
        <w:rPr>
          <w:rFonts w:ascii="Times New Roman" w:eastAsia="Times New Roman" w:hAnsi="Times New Roman"/>
          <w:color w:val="000000"/>
          <w:lang w:val="bg-BG"/>
        </w:rPr>
      </w:pPr>
      <w:bookmarkStart w:id="23" w:name="_Toc228919043"/>
      <w:r w:rsidRPr="003E45F8">
        <w:rPr>
          <w:rFonts w:ascii="Times New Roman" w:eastAsia="Times New Roman" w:hAnsi="Times New Roman"/>
          <w:color w:val="000000"/>
          <w:lang w:val="bg-BG"/>
        </w:rPr>
        <w:t xml:space="preserve">Таблица </w:t>
      </w:r>
      <w:r w:rsidRPr="003E45F8">
        <w:rPr>
          <w:rFonts w:ascii="Times New Roman" w:eastAsia="Times New Roman" w:hAnsi="Times New Roman"/>
          <w:color w:val="000000"/>
          <w:lang w:val="bg-BG"/>
        </w:rPr>
        <w:fldChar w:fldCharType="begin"/>
      </w:r>
      <w:r w:rsidRPr="003E45F8">
        <w:rPr>
          <w:rFonts w:ascii="Times New Roman" w:eastAsia="Times New Roman" w:hAnsi="Times New Roman"/>
          <w:color w:val="000000"/>
          <w:lang w:val="bg-BG"/>
        </w:rPr>
        <w:instrText xml:space="preserve"> SEQ Таблица \* ARABIC </w:instrText>
      </w:r>
      <w:r w:rsidRPr="003E45F8">
        <w:rPr>
          <w:rFonts w:ascii="Times New Roman" w:eastAsia="Times New Roman" w:hAnsi="Times New Roman"/>
          <w:color w:val="000000"/>
          <w:lang w:val="bg-BG"/>
        </w:rPr>
        <w:fldChar w:fldCharType="separate"/>
      </w:r>
      <w:r>
        <w:rPr>
          <w:rFonts w:ascii="Times New Roman" w:eastAsia="Times New Roman" w:hAnsi="Times New Roman"/>
          <w:noProof/>
          <w:color w:val="000000"/>
          <w:lang w:val="bg-BG"/>
        </w:rPr>
        <w:t>34</w:t>
      </w:r>
      <w:r w:rsidRPr="003E45F8">
        <w:rPr>
          <w:rFonts w:ascii="Times New Roman" w:eastAsia="Times New Roman" w:hAnsi="Times New Roman"/>
          <w:color w:val="000000"/>
          <w:lang w:val="bg-BG"/>
        </w:rPr>
        <w:fldChar w:fldCharType="end"/>
      </w:r>
      <w:r w:rsidRPr="003E45F8">
        <w:rPr>
          <w:rFonts w:ascii="Times New Roman" w:eastAsia="Times New Roman" w:hAnsi="Times New Roman"/>
          <w:color w:val="000000"/>
          <w:lang w:val="bg-BG"/>
        </w:rPr>
        <w:t xml:space="preserve"> Приложимост на устойчиви практики</w:t>
      </w:r>
      <w:bookmarkEnd w:id="23"/>
    </w:p>
    <w:tbl>
      <w:tblPr>
        <w:tblW w:w="9480" w:type="dxa"/>
        <w:tblLook w:val="04A0" w:firstRow="1" w:lastRow="0" w:firstColumn="1" w:lastColumn="0" w:noHBand="0" w:noVBand="1"/>
      </w:tblPr>
      <w:tblGrid>
        <w:gridCol w:w="5440"/>
        <w:gridCol w:w="1800"/>
        <w:gridCol w:w="2240"/>
      </w:tblGrid>
      <w:tr w:rsidR="00A01624" w:rsidRPr="008268C0" w14:paraId="1AC80E91" w14:textId="77777777" w:rsidTr="00BA1CD0">
        <w:trPr>
          <w:trHeight w:val="290"/>
        </w:trPr>
        <w:tc>
          <w:tcPr>
            <w:tcW w:w="5440" w:type="dxa"/>
            <w:tcBorders>
              <w:top w:val="single" w:sz="4" w:space="0" w:color="auto"/>
              <w:left w:val="single" w:sz="4" w:space="0" w:color="auto"/>
              <w:bottom w:val="single" w:sz="4" w:space="0" w:color="auto"/>
              <w:right w:val="single" w:sz="4" w:space="0" w:color="auto"/>
            </w:tcBorders>
            <w:noWrap/>
            <w:vAlign w:val="bottom"/>
            <w:hideMark/>
          </w:tcPr>
          <w:p w14:paraId="1B745D69" w14:textId="77777777" w:rsidR="00A01624" w:rsidRPr="008268C0" w:rsidRDefault="00A01624" w:rsidP="00BA1CD0">
            <w:pPr>
              <w:spacing w:after="0" w:line="240" w:lineRule="auto"/>
              <w:jc w:val="center"/>
              <w:rPr>
                <w:rFonts w:ascii="Times New Roman" w:eastAsia="Times New Roman" w:hAnsi="Times New Roman"/>
                <w:b/>
                <w:bCs/>
                <w:color w:val="000000"/>
              </w:rPr>
            </w:pPr>
            <w:r w:rsidRPr="008268C0">
              <w:rPr>
                <w:rFonts w:ascii="Times New Roman" w:eastAsia="Times New Roman" w:hAnsi="Times New Roman"/>
                <w:b/>
                <w:bCs/>
                <w:color w:val="000000"/>
              </w:rPr>
              <w:t>Практика</w:t>
            </w:r>
          </w:p>
        </w:tc>
        <w:tc>
          <w:tcPr>
            <w:tcW w:w="1800" w:type="dxa"/>
            <w:tcBorders>
              <w:top w:val="single" w:sz="4" w:space="0" w:color="auto"/>
              <w:left w:val="nil"/>
              <w:bottom w:val="single" w:sz="4" w:space="0" w:color="auto"/>
              <w:right w:val="single" w:sz="4" w:space="0" w:color="auto"/>
            </w:tcBorders>
            <w:noWrap/>
            <w:vAlign w:val="bottom"/>
            <w:hideMark/>
          </w:tcPr>
          <w:p w14:paraId="5A30450F" w14:textId="77777777" w:rsidR="00A01624" w:rsidRPr="008268C0" w:rsidRDefault="00A01624" w:rsidP="00BA1CD0">
            <w:pPr>
              <w:spacing w:after="0" w:line="240" w:lineRule="auto"/>
              <w:jc w:val="center"/>
              <w:rPr>
                <w:rFonts w:ascii="Times New Roman" w:eastAsia="Times New Roman" w:hAnsi="Times New Roman"/>
                <w:b/>
                <w:bCs/>
                <w:color w:val="000000"/>
              </w:rPr>
            </w:pPr>
            <w:r w:rsidRPr="008268C0">
              <w:rPr>
                <w:rFonts w:ascii="Times New Roman" w:eastAsia="Times New Roman" w:hAnsi="Times New Roman"/>
                <w:b/>
                <w:bCs/>
                <w:color w:val="000000"/>
              </w:rPr>
              <w:t>Брой</w:t>
            </w:r>
          </w:p>
        </w:tc>
        <w:tc>
          <w:tcPr>
            <w:tcW w:w="2240" w:type="dxa"/>
            <w:tcBorders>
              <w:top w:val="single" w:sz="4" w:space="0" w:color="auto"/>
              <w:left w:val="nil"/>
              <w:bottom w:val="single" w:sz="4" w:space="0" w:color="auto"/>
              <w:right w:val="single" w:sz="4" w:space="0" w:color="auto"/>
            </w:tcBorders>
            <w:noWrap/>
            <w:vAlign w:val="bottom"/>
            <w:hideMark/>
          </w:tcPr>
          <w:p w14:paraId="08D627F8" w14:textId="77777777" w:rsidR="00A01624" w:rsidRPr="008268C0" w:rsidRDefault="00A01624" w:rsidP="00BA1CD0">
            <w:pPr>
              <w:spacing w:after="0" w:line="240" w:lineRule="auto"/>
              <w:jc w:val="center"/>
              <w:rPr>
                <w:rFonts w:ascii="Times New Roman" w:eastAsia="Times New Roman" w:hAnsi="Times New Roman"/>
                <w:b/>
                <w:bCs/>
                <w:color w:val="000000"/>
              </w:rPr>
            </w:pPr>
            <w:r w:rsidRPr="008268C0">
              <w:rPr>
                <w:rFonts w:ascii="Times New Roman" w:eastAsia="Times New Roman" w:hAnsi="Times New Roman"/>
                <w:b/>
                <w:bCs/>
                <w:color w:val="000000"/>
              </w:rPr>
              <w:t>Дял (%)</w:t>
            </w:r>
          </w:p>
        </w:tc>
      </w:tr>
      <w:tr w:rsidR="00A01624" w:rsidRPr="008268C0" w14:paraId="1699596A"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07E3905E"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Минимална обработка на почвата</w:t>
            </w:r>
          </w:p>
        </w:tc>
        <w:tc>
          <w:tcPr>
            <w:tcW w:w="1800" w:type="dxa"/>
            <w:tcBorders>
              <w:top w:val="nil"/>
              <w:left w:val="nil"/>
              <w:bottom w:val="single" w:sz="4" w:space="0" w:color="auto"/>
              <w:right w:val="single" w:sz="4" w:space="0" w:color="auto"/>
            </w:tcBorders>
            <w:noWrap/>
            <w:vAlign w:val="bottom"/>
            <w:hideMark/>
          </w:tcPr>
          <w:p w14:paraId="402628C3"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26</w:t>
            </w:r>
          </w:p>
        </w:tc>
        <w:tc>
          <w:tcPr>
            <w:tcW w:w="2240" w:type="dxa"/>
            <w:tcBorders>
              <w:top w:val="nil"/>
              <w:left w:val="nil"/>
              <w:bottom w:val="single" w:sz="4" w:space="0" w:color="auto"/>
              <w:right w:val="single" w:sz="4" w:space="0" w:color="auto"/>
            </w:tcBorders>
            <w:noWrap/>
            <w:vAlign w:val="bottom"/>
            <w:hideMark/>
          </w:tcPr>
          <w:p w14:paraId="12F686AD"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28.30%</w:t>
            </w:r>
          </w:p>
        </w:tc>
      </w:tr>
      <w:tr w:rsidR="00A01624" w:rsidRPr="008268C0" w14:paraId="52DD2812"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140804B0"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Използване на покривни култури</w:t>
            </w:r>
          </w:p>
        </w:tc>
        <w:tc>
          <w:tcPr>
            <w:tcW w:w="1800" w:type="dxa"/>
            <w:tcBorders>
              <w:top w:val="nil"/>
              <w:left w:val="nil"/>
              <w:bottom w:val="single" w:sz="4" w:space="0" w:color="auto"/>
              <w:right w:val="single" w:sz="4" w:space="0" w:color="auto"/>
            </w:tcBorders>
            <w:noWrap/>
            <w:vAlign w:val="bottom"/>
            <w:hideMark/>
          </w:tcPr>
          <w:p w14:paraId="12A88ADD"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21</w:t>
            </w:r>
          </w:p>
        </w:tc>
        <w:tc>
          <w:tcPr>
            <w:tcW w:w="2240" w:type="dxa"/>
            <w:tcBorders>
              <w:top w:val="nil"/>
              <w:left w:val="nil"/>
              <w:bottom w:val="single" w:sz="4" w:space="0" w:color="auto"/>
              <w:right w:val="single" w:sz="4" w:space="0" w:color="auto"/>
            </w:tcBorders>
            <w:noWrap/>
            <w:vAlign w:val="bottom"/>
            <w:hideMark/>
          </w:tcPr>
          <w:p w14:paraId="66E3F93B"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22.80%</w:t>
            </w:r>
          </w:p>
        </w:tc>
      </w:tr>
      <w:tr w:rsidR="00A01624" w:rsidRPr="008268C0" w14:paraId="5C1AE8B3"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09571A00"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Използване на инхибирани торове</w:t>
            </w:r>
          </w:p>
        </w:tc>
        <w:tc>
          <w:tcPr>
            <w:tcW w:w="1800" w:type="dxa"/>
            <w:tcBorders>
              <w:top w:val="nil"/>
              <w:left w:val="nil"/>
              <w:bottom w:val="single" w:sz="4" w:space="0" w:color="auto"/>
              <w:right w:val="single" w:sz="4" w:space="0" w:color="auto"/>
            </w:tcBorders>
            <w:noWrap/>
            <w:vAlign w:val="bottom"/>
            <w:hideMark/>
          </w:tcPr>
          <w:p w14:paraId="6D8D3535"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18</w:t>
            </w:r>
          </w:p>
        </w:tc>
        <w:tc>
          <w:tcPr>
            <w:tcW w:w="2240" w:type="dxa"/>
            <w:tcBorders>
              <w:top w:val="nil"/>
              <w:left w:val="nil"/>
              <w:bottom w:val="single" w:sz="4" w:space="0" w:color="auto"/>
              <w:right w:val="single" w:sz="4" w:space="0" w:color="auto"/>
            </w:tcBorders>
            <w:noWrap/>
            <w:vAlign w:val="bottom"/>
            <w:hideMark/>
          </w:tcPr>
          <w:p w14:paraId="5D3F2FD5"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19.60%</w:t>
            </w:r>
          </w:p>
        </w:tc>
      </w:tr>
      <w:tr w:rsidR="00A01624" w:rsidRPr="008268C0" w14:paraId="34767199"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0F5E1191"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Прецизно земеделие</w:t>
            </w:r>
          </w:p>
        </w:tc>
        <w:tc>
          <w:tcPr>
            <w:tcW w:w="1800" w:type="dxa"/>
            <w:tcBorders>
              <w:top w:val="nil"/>
              <w:left w:val="nil"/>
              <w:bottom w:val="single" w:sz="4" w:space="0" w:color="auto"/>
              <w:right w:val="single" w:sz="4" w:space="0" w:color="auto"/>
            </w:tcBorders>
            <w:noWrap/>
            <w:vAlign w:val="bottom"/>
            <w:hideMark/>
          </w:tcPr>
          <w:p w14:paraId="26D4A8CA"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8</w:t>
            </w:r>
          </w:p>
        </w:tc>
        <w:tc>
          <w:tcPr>
            <w:tcW w:w="2240" w:type="dxa"/>
            <w:tcBorders>
              <w:top w:val="nil"/>
              <w:left w:val="nil"/>
              <w:bottom w:val="single" w:sz="4" w:space="0" w:color="auto"/>
              <w:right w:val="single" w:sz="4" w:space="0" w:color="auto"/>
            </w:tcBorders>
            <w:noWrap/>
            <w:vAlign w:val="bottom"/>
            <w:hideMark/>
          </w:tcPr>
          <w:p w14:paraId="475C214D"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8.70%</w:t>
            </w:r>
          </w:p>
        </w:tc>
      </w:tr>
      <w:tr w:rsidR="00A01624" w:rsidRPr="008268C0" w14:paraId="64A97B2A"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3EF0C044"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Интегрирана борба с вредителите</w:t>
            </w:r>
          </w:p>
        </w:tc>
        <w:tc>
          <w:tcPr>
            <w:tcW w:w="1800" w:type="dxa"/>
            <w:tcBorders>
              <w:top w:val="nil"/>
              <w:left w:val="nil"/>
              <w:bottom w:val="single" w:sz="4" w:space="0" w:color="auto"/>
              <w:right w:val="single" w:sz="4" w:space="0" w:color="auto"/>
            </w:tcBorders>
            <w:noWrap/>
            <w:vAlign w:val="bottom"/>
            <w:hideMark/>
          </w:tcPr>
          <w:p w14:paraId="350CC7B2"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5</w:t>
            </w:r>
          </w:p>
        </w:tc>
        <w:tc>
          <w:tcPr>
            <w:tcW w:w="2240" w:type="dxa"/>
            <w:tcBorders>
              <w:top w:val="nil"/>
              <w:left w:val="nil"/>
              <w:bottom w:val="single" w:sz="4" w:space="0" w:color="auto"/>
              <w:right w:val="single" w:sz="4" w:space="0" w:color="auto"/>
            </w:tcBorders>
            <w:noWrap/>
            <w:vAlign w:val="bottom"/>
            <w:hideMark/>
          </w:tcPr>
          <w:p w14:paraId="4655CD15"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5.40%</w:t>
            </w:r>
          </w:p>
        </w:tc>
      </w:tr>
      <w:tr w:rsidR="00A01624" w:rsidRPr="008268C0" w14:paraId="77C639F3"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54E6E09C"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Оптимизирано напояване</w:t>
            </w:r>
          </w:p>
        </w:tc>
        <w:tc>
          <w:tcPr>
            <w:tcW w:w="1800" w:type="dxa"/>
            <w:tcBorders>
              <w:top w:val="nil"/>
              <w:left w:val="nil"/>
              <w:bottom w:val="single" w:sz="4" w:space="0" w:color="auto"/>
              <w:right w:val="single" w:sz="4" w:space="0" w:color="auto"/>
            </w:tcBorders>
            <w:noWrap/>
            <w:vAlign w:val="bottom"/>
            <w:hideMark/>
          </w:tcPr>
          <w:p w14:paraId="38439F28"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4</w:t>
            </w:r>
          </w:p>
        </w:tc>
        <w:tc>
          <w:tcPr>
            <w:tcW w:w="2240" w:type="dxa"/>
            <w:tcBorders>
              <w:top w:val="nil"/>
              <w:left w:val="nil"/>
              <w:bottom w:val="single" w:sz="4" w:space="0" w:color="auto"/>
              <w:right w:val="single" w:sz="4" w:space="0" w:color="auto"/>
            </w:tcBorders>
            <w:noWrap/>
            <w:vAlign w:val="bottom"/>
            <w:hideMark/>
          </w:tcPr>
          <w:p w14:paraId="153D9D3F"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4.30%</w:t>
            </w:r>
          </w:p>
        </w:tc>
      </w:tr>
      <w:tr w:rsidR="00A01624" w:rsidRPr="008268C0" w14:paraId="6D99EC65"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0AAA04BC"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Биологично земеделие</w:t>
            </w:r>
          </w:p>
        </w:tc>
        <w:tc>
          <w:tcPr>
            <w:tcW w:w="1800" w:type="dxa"/>
            <w:tcBorders>
              <w:top w:val="nil"/>
              <w:left w:val="nil"/>
              <w:bottom w:val="single" w:sz="4" w:space="0" w:color="auto"/>
              <w:right w:val="single" w:sz="4" w:space="0" w:color="auto"/>
            </w:tcBorders>
            <w:noWrap/>
            <w:vAlign w:val="bottom"/>
            <w:hideMark/>
          </w:tcPr>
          <w:p w14:paraId="378451AD"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3</w:t>
            </w:r>
          </w:p>
        </w:tc>
        <w:tc>
          <w:tcPr>
            <w:tcW w:w="2240" w:type="dxa"/>
            <w:tcBorders>
              <w:top w:val="nil"/>
              <w:left w:val="nil"/>
              <w:bottom w:val="single" w:sz="4" w:space="0" w:color="auto"/>
              <w:right w:val="single" w:sz="4" w:space="0" w:color="auto"/>
            </w:tcBorders>
            <w:noWrap/>
            <w:vAlign w:val="bottom"/>
            <w:hideMark/>
          </w:tcPr>
          <w:p w14:paraId="6A3E2838"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3.30%</w:t>
            </w:r>
          </w:p>
        </w:tc>
      </w:tr>
      <w:tr w:rsidR="00A01624" w:rsidRPr="008268C0" w14:paraId="73691241"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450EC8CA"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Въглеродно земеделие</w:t>
            </w:r>
          </w:p>
        </w:tc>
        <w:tc>
          <w:tcPr>
            <w:tcW w:w="1800" w:type="dxa"/>
            <w:tcBorders>
              <w:top w:val="nil"/>
              <w:left w:val="nil"/>
              <w:bottom w:val="single" w:sz="4" w:space="0" w:color="auto"/>
              <w:right w:val="single" w:sz="4" w:space="0" w:color="auto"/>
            </w:tcBorders>
            <w:noWrap/>
            <w:vAlign w:val="bottom"/>
            <w:hideMark/>
          </w:tcPr>
          <w:p w14:paraId="6339CF03"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2</w:t>
            </w:r>
          </w:p>
        </w:tc>
        <w:tc>
          <w:tcPr>
            <w:tcW w:w="2240" w:type="dxa"/>
            <w:tcBorders>
              <w:top w:val="nil"/>
              <w:left w:val="nil"/>
              <w:bottom w:val="single" w:sz="4" w:space="0" w:color="auto"/>
              <w:right w:val="single" w:sz="4" w:space="0" w:color="auto"/>
            </w:tcBorders>
            <w:noWrap/>
            <w:vAlign w:val="bottom"/>
            <w:hideMark/>
          </w:tcPr>
          <w:p w14:paraId="3BC799EE"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2.20%</w:t>
            </w:r>
          </w:p>
        </w:tc>
      </w:tr>
      <w:tr w:rsidR="00A01624" w:rsidRPr="008268C0" w14:paraId="3B60DD07"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20EE3CCE"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lastRenderedPageBreak/>
              <w:t>Изграждане на влажни зони/езера</w:t>
            </w:r>
          </w:p>
        </w:tc>
        <w:tc>
          <w:tcPr>
            <w:tcW w:w="1800" w:type="dxa"/>
            <w:tcBorders>
              <w:top w:val="nil"/>
              <w:left w:val="nil"/>
              <w:bottom w:val="single" w:sz="4" w:space="0" w:color="auto"/>
              <w:right w:val="single" w:sz="4" w:space="0" w:color="auto"/>
            </w:tcBorders>
            <w:noWrap/>
            <w:vAlign w:val="bottom"/>
            <w:hideMark/>
          </w:tcPr>
          <w:p w14:paraId="6E9F619B"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2</w:t>
            </w:r>
          </w:p>
        </w:tc>
        <w:tc>
          <w:tcPr>
            <w:tcW w:w="2240" w:type="dxa"/>
            <w:tcBorders>
              <w:top w:val="nil"/>
              <w:left w:val="nil"/>
              <w:bottom w:val="single" w:sz="4" w:space="0" w:color="auto"/>
              <w:right w:val="single" w:sz="4" w:space="0" w:color="auto"/>
            </w:tcBorders>
            <w:noWrap/>
            <w:vAlign w:val="bottom"/>
            <w:hideMark/>
          </w:tcPr>
          <w:p w14:paraId="73706F0B"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2.20%</w:t>
            </w:r>
          </w:p>
        </w:tc>
      </w:tr>
      <w:tr w:rsidR="00A01624" w:rsidRPr="008268C0" w14:paraId="6DB343CB"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0E0C1BE7"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Живи плетове</w:t>
            </w:r>
          </w:p>
        </w:tc>
        <w:tc>
          <w:tcPr>
            <w:tcW w:w="1800" w:type="dxa"/>
            <w:tcBorders>
              <w:top w:val="nil"/>
              <w:left w:val="nil"/>
              <w:bottom w:val="single" w:sz="4" w:space="0" w:color="auto"/>
              <w:right w:val="single" w:sz="4" w:space="0" w:color="auto"/>
            </w:tcBorders>
            <w:noWrap/>
            <w:vAlign w:val="bottom"/>
            <w:hideMark/>
          </w:tcPr>
          <w:p w14:paraId="019735E7"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0</w:t>
            </w:r>
          </w:p>
        </w:tc>
        <w:tc>
          <w:tcPr>
            <w:tcW w:w="2240" w:type="dxa"/>
            <w:tcBorders>
              <w:top w:val="nil"/>
              <w:left w:val="nil"/>
              <w:bottom w:val="single" w:sz="4" w:space="0" w:color="auto"/>
              <w:right w:val="single" w:sz="4" w:space="0" w:color="auto"/>
            </w:tcBorders>
            <w:noWrap/>
            <w:vAlign w:val="bottom"/>
            <w:hideMark/>
          </w:tcPr>
          <w:p w14:paraId="20FB8F40"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0.00%</w:t>
            </w:r>
          </w:p>
        </w:tc>
      </w:tr>
      <w:tr w:rsidR="00A01624" w:rsidRPr="008268C0" w14:paraId="4A4F6466"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113CBB45"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Буферни ивици</w:t>
            </w:r>
          </w:p>
        </w:tc>
        <w:tc>
          <w:tcPr>
            <w:tcW w:w="1800" w:type="dxa"/>
            <w:tcBorders>
              <w:top w:val="nil"/>
              <w:left w:val="nil"/>
              <w:bottom w:val="single" w:sz="4" w:space="0" w:color="auto"/>
              <w:right w:val="single" w:sz="4" w:space="0" w:color="auto"/>
            </w:tcBorders>
            <w:noWrap/>
            <w:vAlign w:val="bottom"/>
            <w:hideMark/>
          </w:tcPr>
          <w:p w14:paraId="61E91351"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0</w:t>
            </w:r>
          </w:p>
        </w:tc>
        <w:tc>
          <w:tcPr>
            <w:tcW w:w="2240" w:type="dxa"/>
            <w:tcBorders>
              <w:top w:val="nil"/>
              <w:left w:val="nil"/>
              <w:bottom w:val="single" w:sz="4" w:space="0" w:color="auto"/>
              <w:right w:val="single" w:sz="4" w:space="0" w:color="auto"/>
            </w:tcBorders>
            <w:noWrap/>
            <w:vAlign w:val="bottom"/>
            <w:hideMark/>
          </w:tcPr>
          <w:p w14:paraId="4596EEAE"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0.00%</w:t>
            </w:r>
          </w:p>
        </w:tc>
      </w:tr>
      <w:tr w:rsidR="00A01624" w:rsidRPr="008268C0" w14:paraId="536D8BF4"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62CB7911"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Мозаечно земеделие</w:t>
            </w:r>
          </w:p>
        </w:tc>
        <w:tc>
          <w:tcPr>
            <w:tcW w:w="1800" w:type="dxa"/>
            <w:tcBorders>
              <w:top w:val="nil"/>
              <w:left w:val="nil"/>
              <w:bottom w:val="single" w:sz="4" w:space="0" w:color="auto"/>
              <w:right w:val="single" w:sz="4" w:space="0" w:color="auto"/>
            </w:tcBorders>
            <w:noWrap/>
            <w:vAlign w:val="bottom"/>
            <w:hideMark/>
          </w:tcPr>
          <w:p w14:paraId="32F05D1D"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0</w:t>
            </w:r>
          </w:p>
        </w:tc>
        <w:tc>
          <w:tcPr>
            <w:tcW w:w="2240" w:type="dxa"/>
            <w:tcBorders>
              <w:top w:val="nil"/>
              <w:left w:val="nil"/>
              <w:bottom w:val="single" w:sz="4" w:space="0" w:color="auto"/>
              <w:right w:val="single" w:sz="4" w:space="0" w:color="auto"/>
            </w:tcBorders>
            <w:noWrap/>
            <w:vAlign w:val="bottom"/>
            <w:hideMark/>
          </w:tcPr>
          <w:p w14:paraId="4A30F681"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0.00%</w:t>
            </w:r>
          </w:p>
        </w:tc>
      </w:tr>
      <w:tr w:rsidR="00A01624" w:rsidRPr="008268C0" w14:paraId="5E982FF6"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2C9EE85B"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Контурно земеделие</w:t>
            </w:r>
          </w:p>
        </w:tc>
        <w:tc>
          <w:tcPr>
            <w:tcW w:w="1800" w:type="dxa"/>
            <w:tcBorders>
              <w:top w:val="nil"/>
              <w:left w:val="nil"/>
              <w:bottom w:val="single" w:sz="4" w:space="0" w:color="auto"/>
              <w:right w:val="single" w:sz="4" w:space="0" w:color="auto"/>
            </w:tcBorders>
            <w:noWrap/>
            <w:vAlign w:val="bottom"/>
            <w:hideMark/>
          </w:tcPr>
          <w:p w14:paraId="6744C74B"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0</w:t>
            </w:r>
          </w:p>
        </w:tc>
        <w:tc>
          <w:tcPr>
            <w:tcW w:w="2240" w:type="dxa"/>
            <w:tcBorders>
              <w:top w:val="nil"/>
              <w:left w:val="nil"/>
              <w:bottom w:val="single" w:sz="4" w:space="0" w:color="auto"/>
              <w:right w:val="single" w:sz="4" w:space="0" w:color="auto"/>
            </w:tcBorders>
            <w:noWrap/>
            <w:vAlign w:val="bottom"/>
            <w:hideMark/>
          </w:tcPr>
          <w:p w14:paraId="549E7916"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0.00%</w:t>
            </w:r>
          </w:p>
        </w:tc>
      </w:tr>
      <w:tr w:rsidR="00A01624" w:rsidRPr="008268C0" w14:paraId="179B27A7" w14:textId="77777777" w:rsidTr="00BA1CD0">
        <w:trPr>
          <w:trHeight w:val="290"/>
        </w:trPr>
        <w:tc>
          <w:tcPr>
            <w:tcW w:w="5440" w:type="dxa"/>
            <w:tcBorders>
              <w:top w:val="nil"/>
              <w:left w:val="single" w:sz="4" w:space="0" w:color="auto"/>
              <w:bottom w:val="single" w:sz="4" w:space="0" w:color="auto"/>
              <w:right w:val="single" w:sz="4" w:space="0" w:color="auto"/>
            </w:tcBorders>
            <w:noWrap/>
            <w:vAlign w:val="bottom"/>
            <w:hideMark/>
          </w:tcPr>
          <w:p w14:paraId="0F74CA96"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Агролесовъдство</w:t>
            </w:r>
          </w:p>
        </w:tc>
        <w:tc>
          <w:tcPr>
            <w:tcW w:w="1800" w:type="dxa"/>
            <w:tcBorders>
              <w:top w:val="nil"/>
              <w:left w:val="nil"/>
              <w:bottom w:val="single" w:sz="4" w:space="0" w:color="auto"/>
              <w:right w:val="single" w:sz="4" w:space="0" w:color="auto"/>
            </w:tcBorders>
            <w:noWrap/>
            <w:vAlign w:val="bottom"/>
            <w:hideMark/>
          </w:tcPr>
          <w:p w14:paraId="0E8C8448"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0</w:t>
            </w:r>
          </w:p>
        </w:tc>
        <w:tc>
          <w:tcPr>
            <w:tcW w:w="2240" w:type="dxa"/>
            <w:tcBorders>
              <w:top w:val="nil"/>
              <w:left w:val="nil"/>
              <w:bottom w:val="single" w:sz="4" w:space="0" w:color="auto"/>
              <w:right w:val="single" w:sz="4" w:space="0" w:color="auto"/>
            </w:tcBorders>
            <w:noWrap/>
            <w:vAlign w:val="bottom"/>
            <w:hideMark/>
          </w:tcPr>
          <w:p w14:paraId="3FBB82F1" w14:textId="77777777" w:rsidR="00A01624" w:rsidRPr="008268C0" w:rsidRDefault="00A01624" w:rsidP="00BA1CD0">
            <w:pPr>
              <w:spacing w:after="0" w:line="240" w:lineRule="auto"/>
              <w:jc w:val="center"/>
              <w:rPr>
                <w:rFonts w:ascii="Times New Roman" w:eastAsia="Times New Roman" w:hAnsi="Times New Roman"/>
                <w:color w:val="000000"/>
              </w:rPr>
            </w:pPr>
            <w:r w:rsidRPr="008268C0">
              <w:rPr>
                <w:rFonts w:ascii="Times New Roman" w:eastAsia="Times New Roman" w:hAnsi="Times New Roman"/>
                <w:color w:val="000000"/>
              </w:rPr>
              <w:t>0.00%</w:t>
            </w:r>
          </w:p>
        </w:tc>
      </w:tr>
    </w:tbl>
    <w:p w14:paraId="364CEBD0" w14:textId="77777777" w:rsidR="00A01624" w:rsidRPr="008268C0" w:rsidRDefault="00A01624" w:rsidP="00A01624">
      <w:pPr>
        <w:spacing w:line="360" w:lineRule="auto"/>
        <w:jc w:val="center"/>
        <w:rPr>
          <w:rFonts w:ascii="Times New Roman" w:eastAsia="Times New Roman" w:hAnsi="Times New Roman"/>
          <w:lang w:val="bg-BG"/>
        </w:rPr>
      </w:pPr>
      <w:r w:rsidRPr="008268C0">
        <w:rPr>
          <w:rFonts w:ascii="Times New Roman" w:eastAsia="Times New Roman" w:hAnsi="Times New Roman"/>
          <w:lang w:val="bg-BG"/>
        </w:rPr>
        <w:t>Източник: собствени изчисления</w:t>
      </w:r>
    </w:p>
    <w:p w14:paraId="7955523F" w14:textId="77777777" w:rsidR="00A01624" w:rsidRPr="00A01624" w:rsidRDefault="00A01624" w:rsidP="00A01624">
      <w:pPr>
        <w:spacing w:line="360" w:lineRule="auto"/>
        <w:ind w:firstLine="720"/>
        <w:jc w:val="both"/>
        <w:rPr>
          <w:rFonts w:ascii="Times New Roman" w:hAnsi="Times New Roman" w:cs="Times New Roman"/>
          <w:lang w:val="bg-BG"/>
        </w:rPr>
      </w:pPr>
      <w:r w:rsidRPr="00A01624">
        <w:rPr>
          <w:rFonts w:ascii="Times New Roman" w:hAnsi="Times New Roman" w:cs="Times New Roman"/>
          <w:lang w:val="bg-BG"/>
        </w:rPr>
        <w:t>Повече от половината от анкетираните посочват, че биха инвестирали в устойчиви практики само ако субсидиите покрият поне 50–75 % от разходите. Готовността за инвестиции в устойчиви практики е представена в следната таблица:</w:t>
      </w:r>
    </w:p>
    <w:p w14:paraId="10DE6859" w14:textId="77777777" w:rsidR="00A01624" w:rsidRPr="003E45F8" w:rsidRDefault="00A01624" w:rsidP="00A01624">
      <w:pPr>
        <w:keepNext/>
        <w:keepLines/>
        <w:spacing w:before="40" w:after="0"/>
        <w:jc w:val="center"/>
        <w:outlineLvl w:val="5"/>
        <w:rPr>
          <w:rFonts w:ascii="Times New Roman" w:eastAsia="Times New Roman" w:hAnsi="Times New Roman"/>
          <w:color w:val="000000"/>
          <w:lang w:val="bg-BG"/>
        </w:rPr>
      </w:pPr>
      <w:bookmarkStart w:id="24" w:name="_Toc228919044"/>
      <w:r w:rsidRPr="003E45F8">
        <w:rPr>
          <w:rFonts w:ascii="Times New Roman" w:eastAsia="Times New Roman" w:hAnsi="Times New Roman"/>
          <w:color w:val="000000"/>
          <w:lang w:val="bg-BG"/>
        </w:rPr>
        <w:t xml:space="preserve">Таблица </w:t>
      </w:r>
      <w:r w:rsidRPr="003E45F8">
        <w:rPr>
          <w:rFonts w:ascii="Times New Roman" w:eastAsia="Times New Roman" w:hAnsi="Times New Roman"/>
          <w:color w:val="000000"/>
          <w:lang w:val="bg-BG"/>
        </w:rPr>
        <w:fldChar w:fldCharType="begin"/>
      </w:r>
      <w:r w:rsidRPr="003E45F8">
        <w:rPr>
          <w:rFonts w:ascii="Times New Roman" w:eastAsia="Times New Roman" w:hAnsi="Times New Roman"/>
          <w:color w:val="000000"/>
          <w:lang w:val="bg-BG"/>
        </w:rPr>
        <w:instrText xml:space="preserve"> SEQ Таблица \* ARABIC </w:instrText>
      </w:r>
      <w:r w:rsidRPr="003E45F8">
        <w:rPr>
          <w:rFonts w:ascii="Times New Roman" w:eastAsia="Times New Roman" w:hAnsi="Times New Roman"/>
          <w:color w:val="000000"/>
          <w:lang w:val="bg-BG"/>
        </w:rPr>
        <w:fldChar w:fldCharType="separate"/>
      </w:r>
      <w:r>
        <w:rPr>
          <w:rFonts w:ascii="Times New Roman" w:eastAsia="Times New Roman" w:hAnsi="Times New Roman"/>
          <w:noProof/>
          <w:color w:val="000000"/>
          <w:lang w:val="bg-BG"/>
        </w:rPr>
        <w:t>35</w:t>
      </w:r>
      <w:r w:rsidRPr="003E45F8">
        <w:rPr>
          <w:rFonts w:ascii="Times New Roman" w:eastAsia="Times New Roman" w:hAnsi="Times New Roman"/>
          <w:color w:val="000000"/>
          <w:lang w:val="bg-BG"/>
        </w:rPr>
        <w:fldChar w:fldCharType="end"/>
      </w:r>
      <w:r w:rsidRPr="003E45F8">
        <w:rPr>
          <w:rFonts w:ascii="Times New Roman" w:eastAsia="Times New Roman" w:hAnsi="Times New Roman"/>
          <w:color w:val="000000"/>
          <w:lang w:val="bg-BG"/>
        </w:rPr>
        <w:t xml:space="preserve"> Готовност за инвестиция в устойчиви практики</w:t>
      </w:r>
      <w:bookmarkEnd w:id="24"/>
    </w:p>
    <w:tbl>
      <w:tblPr>
        <w:tblW w:w="9860" w:type="dxa"/>
        <w:jc w:val="center"/>
        <w:tblLook w:val="04A0" w:firstRow="1" w:lastRow="0" w:firstColumn="1" w:lastColumn="0" w:noHBand="0" w:noVBand="1"/>
      </w:tblPr>
      <w:tblGrid>
        <w:gridCol w:w="5440"/>
        <w:gridCol w:w="1920"/>
        <w:gridCol w:w="2500"/>
      </w:tblGrid>
      <w:tr w:rsidR="00A01624" w:rsidRPr="00970242" w14:paraId="0437F86D" w14:textId="77777777" w:rsidTr="00BA1CD0">
        <w:trPr>
          <w:trHeight w:val="290"/>
          <w:jc w:val="center"/>
        </w:trPr>
        <w:tc>
          <w:tcPr>
            <w:tcW w:w="5440" w:type="dxa"/>
            <w:tcBorders>
              <w:top w:val="single" w:sz="4" w:space="0" w:color="auto"/>
              <w:left w:val="single" w:sz="4" w:space="0" w:color="auto"/>
              <w:bottom w:val="single" w:sz="4" w:space="0" w:color="auto"/>
              <w:right w:val="single" w:sz="4" w:space="0" w:color="auto"/>
            </w:tcBorders>
            <w:noWrap/>
            <w:vAlign w:val="bottom"/>
            <w:hideMark/>
          </w:tcPr>
          <w:p w14:paraId="3F55DC13" w14:textId="77777777" w:rsidR="00A01624" w:rsidRPr="00970242" w:rsidRDefault="00A01624" w:rsidP="00BA1CD0">
            <w:pPr>
              <w:spacing w:after="0" w:line="240" w:lineRule="auto"/>
              <w:jc w:val="center"/>
              <w:rPr>
                <w:rFonts w:ascii="Times New Roman" w:eastAsia="Times New Roman" w:hAnsi="Times New Roman"/>
                <w:b/>
                <w:bCs/>
                <w:color w:val="000000"/>
              </w:rPr>
            </w:pPr>
            <w:r w:rsidRPr="00970242">
              <w:rPr>
                <w:rFonts w:ascii="Times New Roman" w:eastAsia="Times New Roman" w:hAnsi="Times New Roman"/>
                <w:b/>
                <w:bCs/>
                <w:color w:val="000000"/>
              </w:rPr>
              <w:t>Отговор</w:t>
            </w:r>
          </w:p>
        </w:tc>
        <w:tc>
          <w:tcPr>
            <w:tcW w:w="1920" w:type="dxa"/>
            <w:tcBorders>
              <w:top w:val="single" w:sz="4" w:space="0" w:color="auto"/>
              <w:left w:val="nil"/>
              <w:bottom w:val="single" w:sz="4" w:space="0" w:color="auto"/>
              <w:right w:val="single" w:sz="4" w:space="0" w:color="auto"/>
            </w:tcBorders>
            <w:noWrap/>
            <w:vAlign w:val="bottom"/>
            <w:hideMark/>
          </w:tcPr>
          <w:p w14:paraId="5BE89227" w14:textId="77777777" w:rsidR="00A01624" w:rsidRPr="00970242" w:rsidRDefault="00A01624" w:rsidP="00BA1CD0">
            <w:pPr>
              <w:spacing w:after="0" w:line="240" w:lineRule="auto"/>
              <w:jc w:val="center"/>
              <w:rPr>
                <w:rFonts w:ascii="Times New Roman" w:eastAsia="Times New Roman" w:hAnsi="Times New Roman"/>
                <w:b/>
                <w:bCs/>
                <w:color w:val="000000"/>
              </w:rPr>
            </w:pPr>
            <w:r w:rsidRPr="00970242">
              <w:rPr>
                <w:rFonts w:ascii="Times New Roman" w:eastAsia="Times New Roman" w:hAnsi="Times New Roman"/>
                <w:b/>
                <w:bCs/>
                <w:color w:val="000000"/>
              </w:rPr>
              <w:t>Брой</w:t>
            </w:r>
          </w:p>
        </w:tc>
        <w:tc>
          <w:tcPr>
            <w:tcW w:w="2500" w:type="dxa"/>
            <w:tcBorders>
              <w:top w:val="single" w:sz="4" w:space="0" w:color="auto"/>
              <w:left w:val="nil"/>
              <w:bottom w:val="single" w:sz="4" w:space="0" w:color="auto"/>
              <w:right w:val="single" w:sz="4" w:space="0" w:color="auto"/>
            </w:tcBorders>
            <w:noWrap/>
            <w:vAlign w:val="bottom"/>
            <w:hideMark/>
          </w:tcPr>
          <w:p w14:paraId="043BC66D" w14:textId="77777777" w:rsidR="00A01624" w:rsidRPr="00970242" w:rsidRDefault="00A01624" w:rsidP="00BA1CD0">
            <w:pPr>
              <w:spacing w:after="0" w:line="240" w:lineRule="auto"/>
              <w:jc w:val="center"/>
              <w:rPr>
                <w:rFonts w:ascii="Times New Roman" w:eastAsia="Times New Roman" w:hAnsi="Times New Roman"/>
                <w:b/>
                <w:bCs/>
                <w:color w:val="000000"/>
              </w:rPr>
            </w:pPr>
            <w:r w:rsidRPr="00970242">
              <w:rPr>
                <w:rFonts w:ascii="Times New Roman" w:eastAsia="Times New Roman" w:hAnsi="Times New Roman"/>
                <w:b/>
                <w:bCs/>
                <w:color w:val="000000"/>
              </w:rPr>
              <w:t>Дял (%)</w:t>
            </w:r>
          </w:p>
        </w:tc>
      </w:tr>
      <w:tr w:rsidR="00A01624" w:rsidRPr="00970242" w14:paraId="419FAECC" w14:textId="77777777" w:rsidTr="00BA1CD0">
        <w:trPr>
          <w:trHeight w:val="290"/>
          <w:jc w:val="center"/>
        </w:trPr>
        <w:tc>
          <w:tcPr>
            <w:tcW w:w="5440" w:type="dxa"/>
            <w:tcBorders>
              <w:top w:val="nil"/>
              <w:left w:val="single" w:sz="4" w:space="0" w:color="auto"/>
              <w:bottom w:val="single" w:sz="4" w:space="0" w:color="auto"/>
              <w:right w:val="single" w:sz="4" w:space="0" w:color="auto"/>
            </w:tcBorders>
            <w:noWrap/>
            <w:vAlign w:val="bottom"/>
            <w:hideMark/>
          </w:tcPr>
          <w:p w14:paraId="7242233E"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Готов съм да инвестирам незабавно</w:t>
            </w:r>
          </w:p>
        </w:tc>
        <w:tc>
          <w:tcPr>
            <w:tcW w:w="1920" w:type="dxa"/>
            <w:tcBorders>
              <w:top w:val="nil"/>
              <w:left w:val="nil"/>
              <w:bottom w:val="single" w:sz="4" w:space="0" w:color="auto"/>
              <w:right w:val="single" w:sz="4" w:space="0" w:color="auto"/>
            </w:tcBorders>
            <w:noWrap/>
            <w:vAlign w:val="bottom"/>
            <w:hideMark/>
          </w:tcPr>
          <w:p w14:paraId="6E4F03D2"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11</w:t>
            </w:r>
          </w:p>
        </w:tc>
        <w:tc>
          <w:tcPr>
            <w:tcW w:w="2500" w:type="dxa"/>
            <w:tcBorders>
              <w:top w:val="nil"/>
              <w:left w:val="nil"/>
              <w:bottom w:val="single" w:sz="4" w:space="0" w:color="auto"/>
              <w:right w:val="single" w:sz="4" w:space="0" w:color="auto"/>
            </w:tcBorders>
            <w:noWrap/>
            <w:vAlign w:val="bottom"/>
            <w:hideMark/>
          </w:tcPr>
          <w:p w14:paraId="68528AB2"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12.00%</w:t>
            </w:r>
          </w:p>
        </w:tc>
      </w:tr>
      <w:tr w:rsidR="00A01624" w:rsidRPr="00970242" w14:paraId="05DF7204" w14:textId="77777777" w:rsidTr="00BA1CD0">
        <w:trPr>
          <w:trHeight w:val="290"/>
          <w:jc w:val="center"/>
        </w:trPr>
        <w:tc>
          <w:tcPr>
            <w:tcW w:w="5440" w:type="dxa"/>
            <w:tcBorders>
              <w:top w:val="nil"/>
              <w:left w:val="single" w:sz="4" w:space="0" w:color="auto"/>
              <w:bottom w:val="single" w:sz="4" w:space="0" w:color="auto"/>
              <w:right w:val="single" w:sz="4" w:space="0" w:color="auto"/>
            </w:tcBorders>
            <w:noWrap/>
            <w:vAlign w:val="bottom"/>
            <w:hideMark/>
          </w:tcPr>
          <w:p w14:paraId="2601A3AC"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Бих инвестирал при 50% субсидиране</w:t>
            </w:r>
          </w:p>
        </w:tc>
        <w:tc>
          <w:tcPr>
            <w:tcW w:w="1920" w:type="dxa"/>
            <w:tcBorders>
              <w:top w:val="nil"/>
              <w:left w:val="nil"/>
              <w:bottom w:val="single" w:sz="4" w:space="0" w:color="auto"/>
              <w:right w:val="single" w:sz="4" w:space="0" w:color="auto"/>
            </w:tcBorders>
            <w:noWrap/>
            <w:vAlign w:val="bottom"/>
            <w:hideMark/>
          </w:tcPr>
          <w:p w14:paraId="27F0D5FA"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33</w:t>
            </w:r>
          </w:p>
        </w:tc>
        <w:tc>
          <w:tcPr>
            <w:tcW w:w="2500" w:type="dxa"/>
            <w:tcBorders>
              <w:top w:val="nil"/>
              <w:left w:val="nil"/>
              <w:bottom w:val="single" w:sz="4" w:space="0" w:color="auto"/>
              <w:right w:val="single" w:sz="4" w:space="0" w:color="auto"/>
            </w:tcBorders>
            <w:noWrap/>
            <w:vAlign w:val="bottom"/>
            <w:hideMark/>
          </w:tcPr>
          <w:p w14:paraId="5D4D9F27"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35.90%</w:t>
            </w:r>
          </w:p>
        </w:tc>
      </w:tr>
      <w:tr w:rsidR="00A01624" w:rsidRPr="00970242" w14:paraId="1BF4FC93" w14:textId="77777777" w:rsidTr="00BA1CD0">
        <w:trPr>
          <w:trHeight w:val="290"/>
          <w:jc w:val="center"/>
        </w:trPr>
        <w:tc>
          <w:tcPr>
            <w:tcW w:w="5440" w:type="dxa"/>
            <w:tcBorders>
              <w:top w:val="nil"/>
              <w:left w:val="single" w:sz="4" w:space="0" w:color="auto"/>
              <w:bottom w:val="single" w:sz="4" w:space="0" w:color="auto"/>
              <w:right w:val="single" w:sz="4" w:space="0" w:color="auto"/>
            </w:tcBorders>
            <w:noWrap/>
            <w:vAlign w:val="bottom"/>
            <w:hideMark/>
          </w:tcPr>
          <w:p w14:paraId="6825A492"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Само ако субсидията покрива над 75%</w:t>
            </w:r>
          </w:p>
        </w:tc>
        <w:tc>
          <w:tcPr>
            <w:tcW w:w="1920" w:type="dxa"/>
            <w:tcBorders>
              <w:top w:val="nil"/>
              <w:left w:val="nil"/>
              <w:bottom w:val="single" w:sz="4" w:space="0" w:color="auto"/>
              <w:right w:val="single" w:sz="4" w:space="0" w:color="auto"/>
            </w:tcBorders>
            <w:noWrap/>
            <w:vAlign w:val="bottom"/>
            <w:hideMark/>
          </w:tcPr>
          <w:p w14:paraId="072759D2"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25</w:t>
            </w:r>
          </w:p>
        </w:tc>
        <w:tc>
          <w:tcPr>
            <w:tcW w:w="2500" w:type="dxa"/>
            <w:tcBorders>
              <w:top w:val="nil"/>
              <w:left w:val="nil"/>
              <w:bottom w:val="single" w:sz="4" w:space="0" w:color="auto"/>
              <w:right w:val="single" w:sz="4" w:space="0" w:color="auto"/>
            </w:tcBorders>
            <w:noWrap/>
            <w:vAlign w:val="bottom"/>
            <w:hideMark/>
          </w:tcPr>
          <w:p w14:paraId="0BAD8C88"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27.20%</w:t>
            </w:r>
          </w:p>
        </w:tc>
      </w:tr>
      <w:tr w:rsidR="00A01624" w:rsidRPr="00970242" w14:paraId="477B22C5" w14:textId="77777777" w:rsidTr="00BA1CD0">
        <w:trPr>
          <w:trHeight w:val="290"/>
          <w:jc w:val="center"/>
        </w:trPr>
        <w:tc>
          <w:tcPr>
            <w:tcW w:w="5440" w:type="dxa"/>
            <w:tcBorders>
              <w:top w:val="nil"/>
              <w:left w:val="single" w:sz="4" w:space="0" w:color="auto"/>
              <w:bottom w:val="single" w:sz="4" w:space="0" w:color="auto"/>
              <w:right w:val="single" w:sz="4" w:space="0" w:color="auto"/>
            </w:tcBorders>
            <w:noWrap/>
            <w:vAlign w:val="bottom"/>
            <w:hideMark/>
          </w:tcPr>
          <w:p w14:paraId="208A4B9A"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Няма да инвестирам, дори и с подкрепа</w:t>
            </w:r>
          </w:p>
        </w:tc>
        <w:tc>
          <w:tcPr>
            <w:tcW w:w="1920" w:type="dxa"/>
            <w:tcBorders>
              <w:top w:val="nil"/>
              <w:left w:val="nil"/>
              <w:bottom w:val="single" w:sz="4" w:space="0" w:color="auto"/>
              <w:right w:val="single" w:sz="4" w:space="0" w:color="auto"/>
            </w:tcBorders>
            <w:noWrap/>
            <w:vAlign w:val="bottom"/>
            <w:hideMark/>
          </w:tcPr>
          <w:p w14:paraId="74830F42"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7</w:t>
            </w:r>
          </w:p>
        </w:tc>
        <w:tc>
          <w:tcPr>
            <w:tcW w:w="2500" w:type="dxa"/>
            <w:tcBorders>
              <w:top w:val="nil"/>
              <w:left w:val="nil"/>
              <w:bottom w:val="single" w:sz="4" w:space="0" w:color="auto"/>
              <w:right w:val="single" w:sz="4" w:space="0" w:color="auto"/>
            </w:tcBorders>
            <w:noWrap/>
            <w:vAlign w:val="bottom"/>
            <w:hideMark/>
          </w:tcPr>
          <w:p w14:paraId="62ED5FA5"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7.60%</w:t>
            </w:r>
          </w:p>
        </w:tc>
      </w:tr>
      <w:tr w:rsidR="00A01624" w:rsidRPr="00970242" w14:paraId="2382FB05" w14:textId="77777777" w:rsidTr="00BA1CD0">
        <w:trPr>
          <w:trHeight w:val="290"/>
          <w:jc w:val="center"/>
        </w:trPr>
        <w:tc>
          <w:tcPr>
            <w:tcW w:w="5440" w:type="dxa"/>
            <w:tcBorders>
              <w:top w:val="nil"/>
              <w:left w:val="single" w:sz="4" w:space="0" w:color="auto"/>
              <w:bottom w:val="single" w:sz="4" w:space="0" w:color="auto"/>
              <w:right w:val="single" w:sz="4" w:space="0" w:color="auto"/>
            </w:tcBorders>
            <w:noWrap/>
            <w:vAlign w:val="bottom"/>
            <w:hideMark/>
          </w:tcPr>
          <w:p w14:paraId="59F1B3A2"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Нямам достатъчно информация за да реша</w:t>
            </w:r>
          </w:p>
        </w:tc>
        <w:tc>
          <w:tcPr>
            <w:tcW w:w="1920" w:type="dxa"/>
            <w:tcBorders>
              <w:top w:val="nil"/>
              <w:left w:val="nil"/>
              <w:bottom w:val="single" w:sz="4" w:space="0" w:color="auto"/>
              <w:right w:val="single" w:sz="4" w:space="0" w:color="auto"/>
            </w:tcBorders>
            <w:noWrap/>
            <w:vAlign w:val="bottom"/>
            <w:hideMark/>
          </w:tcPr>
          <w:p w14:paraId="2885466A"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16</w:t>
            </w:r>
          </w:p>
        </w:tc>
        <w:tc>
          <w:tcPr>
            <w:tcW w:w="2500" w:type="dxa"/>
            <w:tcBorders>
              <w:top w:val="nil"/>
              <w:left w:val="nil"/>
              <w:bottom w:val="single" w:sz="4" w:space="0" w:color="auto"/>
              <w:right w:val="single" w:sz="4" w:space="0" w:color="auto"/>
            </w:tcBorders>
            <w:noWrap/>
            <w:vAlign w:val="bottom"/>
            <w:hideMark/>
          </w:tcPr>
          <w:p w14:paraId="1BEB0DF4" w14:textId="77777777" w:rsidR="00A01624" w:rsidRPr="00970242" w:rsidRDefault="00A01624" w:rsidP="00BA1CD0">
            <w:pPr>
              <w:spacing w:after="0" w:line="240" w:lineRule="auto"/>
              <w:jc w:val="center"/>
              <w:rPr>
                <w:rFonts w:ascii="Times New Roman" w:eastAsia="Times New Roman" w:hAnsi="Times New Roman"/>
                <w:color w:val="000000"/>
              </w:rPr>
            </w:pPr>
            <w:r w:rsidRPr="00970242">
              <w:rPr>
                <w:rFonts w:ascii="Times New Roman" w:eastAsia="Times New Roman" w:hAnsi="Times New Roman"/>
                <w:color w:val="000000"/>
              </w:rPr>
              <w:t>17.40%</w:t>
            </w:r>
          </w:p>
        </w:tc>
      </w:tr>
    </w:tbl>
    <w:p w14:paraId="491D8D96" w14:textId="77777777" w:rsidR="00A01624" w:rsidRDefault="00A01624" w:rsidP="00A01624">
      <w:pPr>
        <w:spacing w:line="360" w:lineRule="auto"/>
        <w:jc w:val="both"/>
        <w:rPr>
          <w:rFonts w:ascii="Times New Roman" w:eastAsia="Times New Roman" w:hAnsi="Times New Roman"/>
          <w:lang w:val="bg-BG"/>
        </w:rPr>
      </w:pPr>
      <w:r w:rsidRPr="00C00837">
        <w:rPr>
          <w:rFonts w:ascii="Times New Roman" w:eastAsia="Times New Roman" w:hAnsi="Times New Roman"/>
          <w:lang w:val="bg-BG"/>
        </w:rPr>
        <w:t>Източник: собствени изчисления</w:t>
      </w:r>
    </w:p>
    <w:p w14:paraId="6BAE8FD4" w14:textId="13B52544" w:rsidR="00A01624" w:rsidRDefault="00A01624" w:rsidP="00A01624">
      <w:pPr>
        <w:spacing w:line="360" w:lineRule="auto"/>
        <w:ind w:firstLine="720"/>
        <w:jc w:val="both"/>
        <w:rPr>
          <w:rFonts w:ascii="Times New Roman" w:hAnsi="Times New Roman" w:cs="Times New Roman"/>
          <w:lang w:val="bg-BG"/>
        </w:rPr>
      </w:pPr>
      <w:r w:rsidRPr="00A01624">
        <w:rPr>
          <w:rFonts w:ascii="Times New Roman" w:hAnsi="Times New Roman" w:cs="Times New Roman"/>
          <w:lang w:val="bg-BG"/>
        </w:rPr>
        <w:t>Това показва, че финансовата подкрепа остава ключов фактор за успеха на прехода към устойчивост.</w:t>
      </w:r>
      <w:r w:rsidR="002F43B4">
        <w:rPr>
          <w:rFonts w:ascii="Times New Roman" w:hAnsi="Times New Roman" w:cs="Times New Roman"/>
          <w:lang w:val="bg-BG"/>
        </w:rPr>
        <w:t xml:space="preserve"> </w:t>
      </w:r>
      <w:r w:rsidR="00561F60" w:rsidRPr="00561F60">
        <w:rPr>
          <w:rFonts w:ascii="Times New Roman" w:hAnsi="Times New Roman" w:cs="Times New Roman"/>
          <w:lang w:val="bg-BG"/>
        </w:rPr>
        <w:t>Резултатите от фокус групите потвърждават данните от анкетата и разкриват допълнителни нюанси. Участниците подчертават, че липсата на ясна и дългосрочна визия за подкрепа от страна на държавата създава несигурност и затруднява планирането на инвестиции.</w:t>
      </w:r>
      <w:r>
        <w:rPr>
          <w:rFonts w:ascii="Times New Roman" w:hAnsi="Times New Roman" w:cs="Times New Roman"/>
          <w:lang w:val="bg-BG"/>
        </w:rPr>
        <w:t xml:space="preserve"> </w:t>
      </w:r>
      <w:r w:rsidR="00561F60" w:rsidRPr="00561F60">
        <w:rPr>
          <w:rFonts w:ascii="Times New Roman" w:hAnsi="Times New Roman" w:cs="Times New Roman"/>
          <w:lang w:val="bg-BG"/>
        </w:rPr>
        <w:t>В същото време те изразяват готовност за промяна, ако получат подходяща техническа и финансова подкрепа, както и по-добър достъп до консултантски услуги. Особено често се споменава нуждата от обучения, адаптирани към спецификата на различните региони и типове стопанства.</w:t>
      </w:r>
      <w:r>
        <w:rPr>
          <w:rFonts w:ascii="Times New Roman" w:hAnsi="Times New Roman" w:cs="Times New Roman"/>
          <w:lang w:val="bg-BG"/>
        </w:rPr>
        <w:t xml:space="preserve"> </w:t>
      </w:r>
    </w:p>
    <w:p w14:paraId="18E2F86C" w14:textId="18E546E6" w:rsidR="00561F60" w:rsidRPr="00561F60" w:rsidRDefault="002F43B4" w:rsidP="00A01624">
      <w:pPr>
        <w:spacing w:line="360" w:lineRule="auto"/>
        <w:ind w:firstLine="720"/>
        <w:jc w:val="both"/>
        <w:rPr>
          <w:rFonts w:ascii="Times New Roman" w:hAnsi="Times New Roman" w:cs="Times New Roman"/>
          <w:lang w:val="bg-BG"/>
        </w:rPr>
      </w:pPr>
      <w:r>
        <w:rPr>
          <w:rFonts w:ascii="Times New Roman" w:hAnsi="Times New Roman" w:cs="Times New Roman"/>
          <w:lang w:val="bg-BG"/>
        </w:rPr>
        <w:t>Важно</w:t>
      </w:r>
      <w:r w:rsidR="00561F60" w:rsidRPr="00561F60">
        <w:rPr>
          <w:rFonts w:ascii="Times New Roman" w:hAnsi="Times New Roman" w:cs="Times New Roman"/>
          <w:lang w:val="bg-BG"/>
        </w:rPr>
        <w:t xml:space="preserve"> място в анализа заемат резултатите от SWOT </w:t>
      </w:r>
      <w:r>
        <w:rPr>
          <w:rFonts w:ascii="Times New Roman" w:hAnsi="Times New Roman" w:cs="Times New Roman"/>
          <w:lang w:val="bg-BG"/>
        </w:rPr>
        <w:t>анализа</w:t>
      </w:r>
      <w:r w:rsidR="00561F60" w:rsidRPr="00561F60">
        <w:rPr>
          <w:rFonts w:ascii="Times New Roman" w:hAnsi="Times New Roman" w:cs="Times New Roman"/>
          <w:lang w:val="bg-BG"/>
        </w:rPr>
        <w:t>. Основните силни страни, слаби страни, възможности и заплахи, идентифицирани от участниците в анкетата и фокус групите, са обобщени в следната SWOT матрица:</w:t>
      </w:r>
    </w:p>
    <w:p w14:paraId="54E5D3E6" w14:textId="77777777" w:rsidR="002F43B4" w:rsidRPr="000412E8" w:rsidRDefault="002F43B4" w:rsidP="002F43B4">
      <w:pPr>
        <w:keepNext/>
        <w:keepLines/>
        <w:spacing w:before="40" w:after="0"/>
        <w:jc w:val="center"/>
        <w:outlineLvl w:val="5"/>
        <w:rPr>
          <w:rFonts w:ascii="Times New Roman" w:eastAsia="Times New Roman" w:hAnsi="Times New Roman"/>
          <w:color w:val="000000"/>
          <w:lang w:val="bg-BG"/>
        </w:rPr>
      </w:pPr>
      <w:bookmarkStart w:id="25" w:name="_Toc228919063"/>
      <w:r w:rsidRPr="000412E8">
        <w:rPr>
          <w:rFonts w:ascii="Times New Roman" w:eastAsia="Times New Roman" w:hAnsi="Times New Roman"/>
          <w:color w:val="000000"/>
          <w:lang w:val="bg-BG"/>
        </w:rPr>
        <w:t xml:space="preserve">Таблица </w:t>
      </w:r>
      <w:r w:rsidRPr="000412E8">
        <w:rPr>
          <w:rFonts w:ascii="Times New Roman" w:eastAsia="Times New Roman" w:hAnsi="Times New Roman"/>
          <w:color w:val="000000"/>
          <w:lang w:val="bg-BG"/>
        </w:rPr>
        <w:fldChar w:fldCharType="begin"/>
      </w:r>
      <w:r w:rsidRPr="000412E8">
        <w:rPr>
          <w:rFonts w:ascii="Times New Roman" w:eastAsia="Times New Roman" w:hAnsi="Times New Roman"/>
          <w:color w:val="000000"/>
          <w:lang w:val="bg-BG"/>
        </w:rPr>
        <w:instrText xml:space="preserve"> SEQ Таблица \* ARABIC </w:instrText>
      </w:r>
      <w:r w:rsidRPr="000412E8">
        <w:rPr>
          <w:rFonts w:ascii="Times New Roman" w:eastAsia="Times New Roman" w:hAnsi="Times New Roman"/>
          <w:color w:val="000000"/>
          <w:lang w:val="bg-BG"/>
        </w:rPr>
        <w:fldChar w:fldCharType="separate"/>
      </w:r>
      <w:r>
        <w:rPr>
          <w:rFonts w:ascii="Times New Roman" w:eastAsia="Times New Roman" w:hAnsi="Times New Roman"/>
          <w:noProof/>
          <w:color w:val="000000"/>
          <w:lang w:val="bg-BG"/>
        </w:rPr>
        <w:t>54</w:t>
      </w:r>
      <w:r w:rsidRPr="000412E8">
        <w:rPr>
          <w:rFonts w:ascii="Times New Roman" w:eastAsia="Times New Roman" w:hAnsi="Times New Roman"/>
          <w:color w:val="000000"/>
          <w:lang w:val="bg-BG"/>
        </w:rPr>
        <w:fldChar w:fldCharType="end"/>
      </w:r>
      <w:r w:rsidRPr="000412E8">
        <w:rPr>
          <w:rFonts w:ascii="Times New Roman" w:eastAsia="Times New Roman" w:hAnsi="Times New Roman"/>
          <w:color w:val="000000"/>
          <w:lang w:val="bg-BG"/>
        </w:rPr>
        <w:t xml:space="preserve"> Резултати от SWOT Анализ</w:t>
      </w:r>
      <w:bookmarkEnd w:id="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2"/>
        <w:gridCol w:w="5148"/>
      </w:tblGrid>
      <w:tr w:rsidR="002F43B4" w:rsidRPr="00000B30" w14:paraId="3D06D3A7" w14:textId="77777777" w:rsidTr="00BA1CD0">
        <w:trPr>
          <w:trHeight w:val="290"/>
        </w:trPr>
        <w:tc>
          <w:tcPr>
            <w:tcW w:w="4202" w:type="dxa"/>
            <w:shd w:val="clear" w:color="auto" w:fill="BDD6EE"/>
            <w:hideMark/>
          </w:tcPr>
          <w:p w14:paraId="0FFF0CA1" w14:textId="77777777" w:rsidR="002F43B4" w:rsidRPr="00000B30" w:rsidRDefault="002F43B4" w:rsidP="00BA1CD0">
            <w:pPr>
              <w:spacing w:after="0" w:line="360" w:lineRule="auto"/>
              <w:jc w:val="center"/>
              <w:rPr>
                <w:rFonts w:ascii="Times New Roman" w:eastAsia="Times New Roman" w:hAnsi="Times New Roman"/>
                <w:b/>
                <w:bCs/>
              </w:rPr>
            </w:pPr>
            <w:r w:rsidRPr="00000B30">
              <w:rPr>
                <w:rFonts w:ascii="Times New Roman" w:eastAsia="Times New Roman" w:hAnsi="Times New Roman"/>
                <w:b/>
                <w:bCs/>
              </w:rPr>
              <w:t>СИЛНИ СТРАНИ (Strengths)</w:t>
            </w:r>
          </w:p>
        </w:tc>
        <w:tc>
          <w:tcPr>
            <w:tcW w:w="5148" w:type="dxa"/>
            <w:shd w:val="clear" w:color="auto" w:fill="BDD6EE"/>
            <w:hideMark/>
          </w:tcPr>
          <w:p w14:paraId="46942972" w14:textId="77777777" w:rsidR="002F43B4" w:rsidRPr="00000B30" w:rsidRDefault="002F43B4" w:rsidP="00BA1CD0">
            <w:pPr>
              <w:spacing w:after="0" w:line="360" w:lineRule="auto"/>
              <w:jc w:val="center"/>
              <w:rPr>
                <w:rFonts w:ascii="Times New Roman" w:eastAsia="Times New Roman" w:hAnsi="Times New Roman"/>
                <w:b/>
                <w:bCs/>
              </w:rPr>
            </w:pPr>
            <w:r w:rsidRPr="00000B30">
              <w:rPr>
                <w:rFonts w:ascii="Times New Roman" w:eastAsia="Times New Roman" w:hAnsi="Times New Roman"/>
                <w:b/>
                <w:bCs/>
              </w:rPr>
              <w:t>СЛАБИ СТРАНИ (Weaknesses)</w:t>
            </w:r>
          </w:p>
        </w:tc>
      </w:tr>
      <w:tr w:rsidR="002F43B4" w:rsidRPr="00000B30" w14:paraId="4052A73F" w14:textId="77777777" w:rsidTr="00BA1CD0">
        <w:trPr>
          <w:trHeight w:val="570"/>
        </w:trPr>
        <w:tc>
          <w:tcPr>
            <w:tcW w:w="4202" w:type="dxa"/>
            <w:hideMark/>
          </w:tcPr>
          <w:p w14:paraId="49F29452" w14:textId="77777777" w:rsidR="002F43B4" w:rsidRPr="0094541D"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xml:space="preserve">• Дългогодишен практически и управленски опит на </w:t>
            </w:r>
            <w:r>
              <w:rPr>
                <w:rFonts w:ascii="Times New Roman" w:eastAsia="Times New Roman" w:hAnsi="Times New Roman"/>
                <w:sz w:val="20"/>
                <w:lang w:val="bg-BG"/>
              </w:rPr>
              <w:t xml:space="preserve">земеделските стопани </w:t>
            </w:r>
          </w:p>
        </w:tc>
        <w:tc>
          <w:tcPr>
            <w:tcW w:w="5148" w:type="dxa"/>
            <w:hideMark/>
          </w:tcPr>
          <w:p w14:paraId="7A30E1C8"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Високи производствени разходи (материали, труд, енергия)</w:t>
            </w:r>
          </w:p>
        </w:tc>
      </w:tr>
      <w:tr w:rsidR="002F43B4" w:rsidRPr="00000B30" w14:paraId="6711915B" w14:textId="77777777" w:rsidTr="00BA1CD0">
        <w:trPr>
          <w:trHeight w:val="290"/>
        </w:trPr>
        <w:tc>
          <w:tcPr>
            <w:tcW w:w="4202" w:type="dxa"/>
            <w:hideMark/>
          </w:tcPr>
          <w:p w14:paraId="3DE703D0"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lastRenderedPageBreak/>
              <w:t>• Наличие на модерна техника и складова база</w:t>
            </w:r>
          </w:p>
        </w:tc>
        <w:tc>
          <w:tcPr>
            <w:tcW w:w="5148" w:type="dxa"/>
            <w:hideMark/>
          </w:tcPr>
          <w:p w14:paraId="628A19ED"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Липса на собствена земя и високи ренти</w:t>
            </w:r>
          </w:p>
        </w:tc>
      </w:tr>
      <w:tr w:rsidR="002F43B4" w:rsidRPr="00000B30" w14:paraId="32272C9D" w14:textId="77777777" w:rsidTr="00BA1CD0">
        <w:trPr>
          <w:trHeight w:val="290"/>
        </w:trPr>
        <w:tc>
          <w:tcPr>
            <w:tcW w:w="4202" w:type="dxa"/>
            <w:hideMark/>
          </w:tcPr>
          <w:p w14:paraId="28023E5B"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Стабилни търговски отношения и пазарна мрежа</w:t>
            </w:r>
          </w:p>
        </w:tc>
        <w:tc>
          <w:tcPr>
            <w:tcW w:w="5148" w:type="dxa"/>
            <w:hideMark/>
          </w:tcPr>
          <w:p w14:paraId="791EEAEB"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Недостиг на квалифицирана работна ръка</w:t>
            </w:r>
          </w:p>
        </w:tc>
      </w:tr>
      <w:tr w:rsidR="002F43B4" w:rsidRPr="00000B30" w14:paraId="700FD42C" w14:textId="77777777" w:rsidTr="00BA1CD0">
        <w:trPr>
          <w:trHeight w:val="570"/>
        </w:trPr>
        <w:tc>
          <w:tcPr>
            <w:tcW w:w="4202" w:type="dxa"/>
            <w:hideMark/>
          </w:tcPr>
          <w:p w14:paraId="23E74499"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Прилагане на устойчиви практики като No-till, покривни култури, инхибирани торове</w:t>
            </w:r>
          </w:p>
        </w:tc>
        <w:tc>
          <w:tcPr>
            <w:tcW w:w="5148" w:type="dxa"/>
            <w:hideMark/>
          </w:tcPr>
          <w:p w14:paraId="7A3F78F2"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Зависимост от субсидии като основен източник на доходи</w:t>
            </w:r>
          </w:p>
        </w:tc>
      </w:tr>
      <w:tr w:rsidR="002F43B4" w:rsidRPr="00000B30" w14:paraId="4FDE0C74" w14:textId="77777777" w:rsidTr="00BA1CD0">
        <w:trPr>
          <w:trHeight w:val="570"/>
        </w:trPr>
        <w:tc>
          <w:tcPr>
            <w:tcW w:w="4202" w:type="dxa"/>
            <w:hideMark/>
          </w:tcPr>
          <w:p w14:paraId="2A4B8A5B"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Диверсификация чрез комбинирано производство (растениевъдство и животновъдство)</w:t>
            </w:r>
          </w:p>
        </w:tc>
        <w:tc>
          <w:tcPr>
            <w:tcW w:w="5148" w:type="dxa"/>
            <w:hideMark/>
          </w:tcPr>
          <w:p w14:paraId="2F078DF7"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Липса на прилагане и интерес към агроекологични практики (агролесовъдство, буферни ивици и др.)</w:t>
            </w:r>
          </w:p>
        </w:tc>
      </w:tr>
      <w:tr w:rsidR="002F43B4" w:rsidRPr="00000B30" w14:paraId="1C3D7115" w14:textId="77777777" w:rsidTr="00BA1CD0">
        <w:trPr>
          <w:trHeight w:val="570"/>
        </w:trPr>
        <w:tc>
          <w:tcPr>
            <w:tcW w:w="4202" w:type="dxa"/>
            <w:hideMark/>
          </w:tcPr>
          <w:p w14:paraId="1490A22C"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Достъп до иновации и внедряване на прецизни технологии</w:t>
            </w:r>
          </w:p>
        </w:tc>
        <w:tc>
          <w:tcPr>
            <w:tcW w:w="5148" w:type="dxa"/>
            <w:hideMark/>
          </w:tcPr>
          <w:p w14:paraId="0BAA3845"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Информационен дефицит относно добри практики, достъп до технологии и консултации</w:t>
            </w:r>
          </w:p>
        </w:tc>
      </w:tr>
      <w:tr w:rsidR="002F43B4" w:rsidRPr="00000B30" w14:paraId="14C287BB" w14:textId="77777777" w:rsidTr="00BA1CD0">
        <w:trPr>
          <w:trHeight w:val="290"/>
        </w:trPr>
        <w:tc>
          <w:tcPr>
            <w:tcW w:w="4202" w:type="dxa"/>
            <w:shd w:val="clear" w:color="auto" w:fill="BDD6EE"/>
            <w:hideMark/>
          </w:tcPr>
          <w:p w14:paraId="7C27E713" w14:textId="77777777" w:rsidR="002F43B4" w:rsidRPr="00000B30" w:rsidRDefault="002F43B4" w:rsidP="00BA1CD0">
            <w:pPr>
              <w:spacing w:after="0" w:line="360" w:lineRule="auto"/>
              <w:jc w:val="center"/>
              <w:rPr>
                <w:rFonts w:ascii="Times New Roman" w:eastAsia="Times New Roman" w:hAnsi="Times New Roman"/>
                <w:b/>
                <w:bCs/>
              </w:rPr>
            </w:pPr>
            <w:r w:rsidRPr="00000B30">
              <w:rPr>
                <w:rFonts w:ascii="Times New Roman" w:eastAsia="Times New Roman" w:hAnsi="Times New Roman"/>
                <w:b/>
                <w:bCs/>
              </w:rPr>
              <w:t>ВЪЗМОЖНОСТИ (Opportunities)</w:t>
            </w:r>
          </w:p>
        </w:tc>
        <w:tc>
          <w:tcPr>
            <w:tcW w:w="5148" w:type="dxa"/>
            <w:shd w:val="clear" w:color="auto" w:fill="BDD6EE"/>
            <w:hideMark/>
          </w:tcPr>
          <w:p w14:paraId="21D8C9CD" w14:textId="77777777" w:rsidR="002F43B4" w:rsidRPr="00000B30" w:rsidRDefault="002F43B4" w:rsidP="00BA1CD0">
            <w:pPr>
              <w:spacing w:after="0" w:line="360" w:lineRule="auto"/>
              <w:jc w:val="center"/>
              <w:rPr>
                <w:rFonts w:ascii="Times New Roman" w:eastAsia="Times New Roman" w:hAnsi="Times New Roman"/>
                <w:b/>
                <w:bCs/>
              </w:rPr>
            </w:pPr>
            <w:r w:rsidRPr="00000B30">
              <w:rPr>
                <w:rFonts w:ascii="Times New Roman" w:eastAsia="Times New Roman" w:hAnsi="Times New Roman"/>
                <w:b/>
                <w:bCs/>
              </w:rPr>
              <w:t>ЗАПЛАХИ (Threats)</w:t>
            </w:r>
          </w:p>
        </w:tc>
      </w:tr>
      <w:tr w:rsidR="002F43B4" w:rsidRPr="00000B30" w14:paraId="0D1F85FE" w14:textId="77777777" w:rsidTr="00BA1CD0">
        <w:trPr>
          <w:trHeight w:val="570"/>
        </w:trPr>
        <w:tc>
          <w:tcPr>
            <w:tcW w:w="4202" w:type="dxa"/>
            <w:hideMark/>
          </w:tcPr>
          <w:p w14:paraId="05DDC4A3"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Финансова подкрепа чрез ОСП, ПРСР и национални програми</w:t>
            </w:r>
          </w:p>
        </w:tc>
        <w:tc>
          <w:tcPr>
            <w:tcW w:w="5148" w:type="dxa"/>
            <w:hideMark/>
          </w:tcPr>
          <w:p w14:paraId="27CD616E"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Повишени производствени разходи, свързани с екологични изисквания</w:t>
            </w:r>
          </w:p>
        </w:tc>
      </w:tr>
      <w:tr w:rsidR="002F43B4" w:rsidRPr="00000B30" w14:paraId="2978AEEF" w14:textId="77777777" w:rsidTr="00BA1CD0">
        <w:trPr>
          <w:trHeight w:val="570"/>
        </w:trPr>
        <w:tc>
          <w:tcPr>
            <w:tcW w:w="4202" w:type="dxa"/>
            <w:hideMark/>
          </w:tcPr>
          <w:p w14:paraId="0D640A43"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Технологично обновяване чрез прецизно и цифрово земеделие</w:t>
            </w:r>
          </w:p>
        </w:tc>
        <w:tc>
          <w:tcPr>
            <w:tcW w:w="5148" w:type="dxa"/>
            <w:hideMark/>
          </w:tcPr>
          <w:p w14:paraId="51EA6D87"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Регулаторен натиск, административна тежест и несъответствия в нормативната база</w:t>
            </w:r>
          </w:p>
        </w:tc>
      </w:tr>
      <w:tr w:rsidR="002F43B4" w:rsidRPr="00000B30" w14:paraId="04D393DB" w14:textId="77777777" w:rsidTr="00BA1CD0">
        <w:trPr>
          <w:trHeight w:val="570"/>
        </w:trPr>
        <w:tc>
          <w:tcPr>
            <w:tcW w:w="4202" w:type="dxa"/>
            <w:hideMark/>
          </w:tcPr>
          <w:p w14:paraId="15DBC6F7"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Подобрена устойчивост към климатични промени чрез адаптирани агрономически практики</w:t>
            </w:r>
          </w:p>
        </w:tc>
        <w:tc>
          <w:tcPr>
            <w:tcW w:w="5148" w:type="dxa"/>
            <w:hideMark/>
          </w:tcPr>
          <w:p w14:paraId="2B6CB7CA"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Намалена ефективност на стопанствата вследствие на ограничения в торове и пестициди</w:t>
            </w:r>
          </w:p>
        </w:tc>
      </w:tr>
      <w:tr w:rsidR="002F43B4" w:rsidRPr="00000B30" w14:paraId="6F70257A" w14:textId="77777777" w:rsidTr="00BA1CD0">
        <w:trPr>
          <w:trHeight w:val="570"/>
        </w:trPr>
        <w:tc>
          <w:tcPr>
            <w:tcW w:w="4202" w:type="dxa"/>
            <w:hideMark/>
          </w:tcPr>
          <w:p w14:paraId="43DBF95F"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Достъп до нови пазари чрез екологична сертификация</w:t>
            </w:r>
          </w:p>
        </w:tc>
        <w:tc>
          <w:tcPr>
            <w:tcW w:w="5148" w:type="dxa"/>
            <w:hideMark/>
          </w:tcPr>
          <w:p w14:paraId="68FA8FEB"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Политическа и програмна несигурност – нестабилност на подпомагането и честота на промени в правилата</w:t>
            </w:r>
          </w:p>
        </w:tc>
      </w:tr>
      <w:tr w:rsidR="002F43B4" w:rsidRPr="00000B30" w14:paraId="3F8A5A6D" w14:textId="77777777" w:rsidTr="00BA1CD0">
        <w:trPr>
          <w:trHeight w:val="570"/>
        </w:trPr>
        <w:tc>
          <w:tcPr>
            <w:tcW w:w="4202" w:type="dxa"/>
            <w:hideMark/>
          </w:tcPr>
          <w:p w14:paraId="3C5AA3DE"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Намаляване на разходите чрез ресурсна ефективност и затворени цикли</w:t>
            </w:r>
          </w:p>
        </w:tc>
        <w:tc>
          <w:tcPr>
            <w:tcW w:w="5148" w:type="dxa"/>
            <w:hideMark/>
          </w:tcPr>
          <w:p w14:paraId="7C4D60E0"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Неравномерно разпределение на ресурсите – затруднен достъп на малките и средни стопанства</w:t>
            </w:r>
          </w:p>
        </w:tc>
      </w:tr>
      <w:tr w:rsidR="002F43B4" w:rsidRPr="00000B30" w14:paraId="2B09189E" w14:textId="77777777" w:rsidTr="00BA1CD0">
        <w:trPr>
          <w:trHeight w:val="570"/>
        </w:trPr>
        <w:tc>
          <w:tcPr>
            <w:tcW w:w="4202" w:type="dxa"/>
            <w:hideMark/>
          </w:tcPr>
          <w:p w14:paraId="39BBD48D"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Повишено почвено плодородие и агроекологични ползи при дългосрочно прилагане на устойчиви технологии</w:t>
            </w:r>
          </w:p>
        </w:tc>
        <w:tc>
          <w:tcPr>
            <w:tcW w:w="5148" w:type="dxa"/>
            <w:hideMark/>
          </w:tcPr>
          <w:p w14:paraId="75D5ED9A"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Ограничен достъп до пазарна информация, специализирани обучения и въглеродни механизми</w:t>
            </w:r>
          </w:p>
        </w:tc>
      </w:tr>
      <w:tr w:rsidR="002F43B4" w:rsidRPr="00000B30" w14:paraId="3D8B5FAD" w14:textId="77777777" w:rsidTr="00BA1CD0">
        <w:trPr>
          <w:trHeight w:val="570"/>
        </w:trPr>
        <w:tc>
          <w:tcPr>
            <w:tcW w:w="4202" w:type="dxa"/>
            <w:hideMark/>
          </w:tcPr>
          <w:p w14:paraId="17023FFD"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Развитие на нови финансови инструменти (въглеродни кредити, зелени инвестиции)</w:t>
            </w:r>
          </w:p>
        </w:tc>
        <w:tc>
          <w:tcPr>
            <w:tcW w:w="5148" w:type="dxa"/>
            <w:hideMark/>
          </w:tcPr>
          <w:p w14:paraId="4C5D978A" w14:textId="77777777" w:rsidR="002F43B4" w:rsidRPr="00000B30" w:rsidRDefault="002F43B4" w:rsidP="00BA1CD0">
            <w:pPr>
              <w:spacing w:after="0" w:line="360" w:lineRule="auto"/>
              <w:jc w:val="center"/>
              <w:rPr>
                <w:rFonts w:ascii="Times New Roman" w:eastAsia="Times New Roman" w:hAnsi="Times New Roman"/>
                <w:sz w:val="20"/>
              </w:rPr>
            </w:pPr>
            <w:r w:rsidRPr="00000B30">
              <w:rPr>
                <w:rFonts w:ascii="Times New Roman" w:eastAsia="Times New Roman" w:hAnsi="Times New Roman"/>
                <w:sz w:val="20"/>
              </w:rPr>
              <w:t>• Риск от пазарен дисбаланс и намалена конкурентоспособност спрямо аграрни системи извън ЕС със занижени изисквания</w:t>
            </w:r>
          </w:p>
        </w:tc>
      </w:tr>
    </w:tbl>
    <w:p w14:paraId="26E241D2" w14:textId="77777777" w:rsidR="002F43B4" w:rsidRPr="00C00837" w:rsidRDefault="002F43B4" w:rsidP="002F43B4">
      <w:pPr>
        <w:spacing w:line="360" w:lineRule="auto"/>
        <w:ind w:firstLine="360"/>
        <w:jc w:val="center"/>
        <w:rPr>
          <w:rFonts w:ascii="Times New Roman" w:eastAsia="Times New Roman" w:hAnsi="Times New Roman"/>
          <w:lang w:val="bg-BG"/>
        </w:rPr>
      </w:pPr>
      <w:r w:rsidRPr="00C00837">
        <w:rPr>
          <w:rFonts w:ascii="Times New Roman" w:eastAsia="Times New Roman" w:hAnsi="Times New Roman"/>
          <w:lang w:val="bg-BG"/>
        </w:rPr>
        <w:t>Източник: собствени изчисления</w:t>
      </w:r>
    </w:p>
    <w:p w14:paraId="27623C63" w14:textId="77777777" w:rsidR="00561F60" w:rsidRPr="006E039F" w:rsidRDefault="00561F60" w:rsidP="00561F60">
      <w:pPr>
        <w:spacing w:line="360" w:lineRule="auto"/>
        <w:jc w:val="both"/>
        <w:rPr>
          <w:rFonts w:ascii="Times New Roman" w:hAnsi="Times New Roman" w:cs="Times New Roman"/>
          <w:b/>
          <w:bCs/>
          <w:lang w:val="bg-BG"/>
        </w:rPr>
      </w:pPr>
      <w:r w:rsidRPr="006E039F">
        <w:rPr>
          <w:rFonts w:ascii="Times New Roman" w:hAnsi="Times New Roman" w:cs="Times New Roman"/>
          <w:b/>
          <w:bCs/>
          <w:lang w:val="bg-BG"/>
        </w:rPr>
        <w:t>Изводи от Глава трета:</w:t>
      </w:r>
    </w:p>
    <w:p w14:paraId="0AE77EC8" w14:textId="04239C89" w:rsidR="002B1E55" w:rsidRDefault="00561F60" w:rsidP="006E039F">
      <w:pPr>
        <w:spacing w:line="360" w:lineRule="auto"/>
        <w:ind w:firstLine="720"/>
        <w:jc w:val="both"/>
        <w:rPr>
          <w:rFonts w:ascii="Times New Roman" w:hAnsi="Times New Roman" w:cs="Times New Roman"/>
          <w:lang w:val="bg-BG"/>
        </w:rPr>
      </w:pPr>
      <w:r w:rsidRPr="00561F60">
        <w:rPr>
          <w:rFonts w:ascii="Times New Roman" w:hAnsi="Times New Roman" w:cs="Times New Roman"/>
          <w:lang w:val="bg-BG"/>
        </w:rPr>
        <w:t xml:space="preserve">Трета глава разкрива сложната картина на икономическата и екологичната ефективност на българските земеделски стопанства. Резултатите показват, че ефективността се различава съществено в зависимост от размера и специализацията на стопанствата, че устойчивите практики могат да повишат едновременно икономическите и екологичните показатели, и че преходът към Зелената сделка изисква диференциран подход, съобразен с </w:t>
      </w:r>
      <w:r w:rsidRPr="00561F60">
        <w:rPr>
          <w:rFonts w:ascii="Times New Roman" w:hAnsi="Times New Roman" w:cs="Times New Roman"/>
          <w:lang w:val="bg-BG"/>
        </w:rPr>
        <w:lastRenderedPageBreak/>
        <w:t>хетерогенността на сектора. Главата създава</w:t>
      </w:r>
      <w:r w:rsidR="006E039F">
        <w:rPr>
          <w:rFonts w:ascii="Times New Roman" w:hAnsi="Times New Roman" w:cs="Times New Roman"/>
          <w:lang w:val="bg-BG"/>
        </w:rPr>
        <w:t xml:space="preserve"> </w:t>
      </w:r>
      <w:r w:rsidRPr="00561F60">
        <w:rPr>
          <w:rFonts w:ascii="Times New Roman" w:hAnsi="Times New Roman" w:cs="Times New Roman"/>
          <w:lang w:val="bg-BG"/>
        </w:rPr>
        <w:t>емпирична основа за формулиране на конкретни насоки и препоръки, които са развити в четвърта глава на дисертационния труд.</w:t>
      </w:r>
    </w:p>
    <w:p w14:paraId="7249153D" w14:textId="77777777" w:rsidR="00851152" w:rsidRPr="0037603C" w:rsidRDefault="00851152" w:rsidP="0037603C">
      <w:pPr>
        <w:pStyle w:val="Heading2"/>
        <w:rPr>
          <w:rFonts w:ascii="Times New Roman" w:hAnsi="Times New Roman" w:cs="Times New Roman"/>
          <w:b/>
          <w:bCs/>
          <w:color w:val="auto"/>
          <w:sz w:val="24"/>
          <w:szCs w:val="24"/>
          <w:lang w:val="bg-BG"/>
        </w:rPr>
      </w:pPr>
      <w:bookmarkStart w:id="26" w:name="_Toc229092802"/>
      <w:r w:rsidRPr="0037603C">
        <w:rPr>
          <w:rFonts w:ascii="Times New Roman" w:hAnsi="Times New Roman" w:cs="Times New Roman"/>
          <w:b/>
          <w:bCs/>
          <w:color w:val="auto"/>
          <w:sz w:val="24"/>
          <w:szCs w:val="24"/>
          <w:lang w:val="bg-BG"/>
        </w:rPr>
        <w:t>ГЛАВА ЧЕТВЪРТА: ПРИЛОЖИМИ ИЗМЕРЕНИЯ И ПРЕПОРЪКИ ЗА ПОВИШАВАНЕ НА ИКОНОМИЧЕСКАТА И ЕКОЛОГИЧНАТА ЕФЕКТИВНОСТ НА ЗЕМЕДЕЛСКИТЕ СТОПАНСТВА В УСЛОВИЯТА НА ЗЕЛЕНАТА СДЕЛКА НА ЕС</w:t>
      </w:r>
      <w:bookmarkEnd w:id="26"/>
    </w:p>
    <w:p w14:paraId="2F34DB7D" w14:textId="77777777" w:rsidR="00A0239E" w:rsidRDefault="00851152" w:rsidP="00A0239E">
      <w:pPr>
        <w:spacing w:line="360" w:lineRule="auto"/>
        <w:ind w:firstLine="720"/>
        <w:jc w:val="both"/>
        <w:rPr>
          <w:rFonts w:ascii="Times New Roman" w:hAnsi="Times New Roman" w:cs="Times New Roman"/>
          <w:lang w:val="bg-BG"/>
        </w:rPr>
      </w:pPr>
      <w:r w:rsidRPr="00851152">
        <w:rPr>
          <w:rFonts w:ascii="Times New Roman" w:hAnsi="Times New Roman" w:cs="Times New Roman"/>
          <w:lang w:val="bg-BG"/>
        </w:rPr>
        <w:t>В четвърта глава на дисертационния труд се представят приложимите измерения и конкретни препоръки за повишаване на икономическата и екологичната ефективност на българските земеделски стопанства в условията на Зелената сделка.</w:t>
      </w:r>
      <w:r w:rsidR="00A0239E">
        <w:rPr>
          <w:rFonts w:ascii="Times New Roman" w:hAnsi="Times New Roman" w:cs="Times New Roman"/>
          <w:lang w:val="bg-BG"/>
        </w:rPr>
        <w:t xml:space="preserve"> </w:t>
      </w:r>
      <w:r w:rsidRPr="00851152">
        <w:rPr>
          <w:rFonts w:ascii="Times New Roman" w:hAnsi="Times New Roman" w:cs="Times New Roman"/>
          <w:lang w:val="bg-BG"/>
        </w:rPr>
        <w:t>Главата обединява резултатите от стохастичния сценариен модел, корелационния и детерминационен анализ, както и концептуалното обвързване на емпиричните данни с политик</w:t>
      </w:r>
      <w:r w:rsidR="00BD5A71">
        <w:rPr>
          <w:rFonts w:ascii="Times New Roman" w:hAnsi="Times New Roman" w:cs="Times New Roman"/>
          <w:lang w:val="bg-BG"/>
        </w:rPr>
        <w:t xml:space="preserve">ите </w:t>
      </w:r>
      <w:r w:rsidRPr="00851152">
        <w:rPr>
          <w:rFonts w:ascii="Times New Roman" w:hAnsi="Times New Roman" w:cs="Times New Roman"/>
          <w:lang w:val="bg-BG"/>
        </w:rPr>
        <w:t>на Зелената сделка. Особено внимание се отделя на формулирането на диференцирани направления за адаптация, съобразени с размера</w:t>
      </w:r>
      <w:r w:rsidR="00BD5A71">
        <w:rPr>
          <w:rFonts w:ascii="Times New Roman" w:hAnsi="Times New Roman" w:cs="Times New Roman"/>
          <w:lang w:val="bg-BG"/>
        </w:rPr>
        <w:t xml:space="preserve"> и </w:t>
      </w:r>
      <w:r w:rsidRPr="00851152">
        <w:rPr>
          <w:rFonts w:ascii="Times New Roman" w:hAnsi="Times New Roman" w:cs="Times New Roman"/>
          <w:lang w:val="bg-BG"/>
        </w:rPr>
        <w:t>специализацията</w:t>
      </w:r>
      <w:r w:rsidR="00BD5A71">
        <w:rPr>
          <w:rFonts w:ascii="Times New Roman" w:hAnsi="Times New Roman" w:cs="Times New Roman"/>
          <w:lang w:val="bg-BG"/>
        </w:rPr>
        <w:t xml:space="preserve"> </w:t>
      </w:r>
      <w:r w:rsidRPr="00851152">
        <w:rPr>
          <w:rFonts w:ascii="Times New Roman" w:hAnsi="Times New Roman" w:cs="Times New Roman"/>
          <w:lang w:val="bg-BG"/>
        </w:rPr>
        <w:t>на стопанствата. Главата е изградена в четири основни части: резултати от стохастичния сценариен модел, резултати от корелационния анализ, концептуално обвързване с политиката на Зелената сделка и диференцирани направления за повишаване на ефективността.</w:t>
      </w:r>
    </w:p>
    <w:p w14:paraId="494973C6" w14:textId="00317DB3" w:rsidR="00A0239E" w:rsidRPr="00A0239E" w:rsidRDefault="00A0239E" w:rsidP="00A0239E">
      <w:pPr>
        <w:spacing w:line="360" w:lineRule="auto"/>
        <w:ind w:firstLine="720"/>
        <w:jc w:val="both"/>
        <w:rPr>
          <w:rFonts w:ascii="Times New Roman" w:hAnsi="Times New Roman" w:cs="Times New Roman"/>
          <w:lang w:val="bg-BG"/>
        </w:rPr>
      </w:pPr>
      <w:r w:rsidRPr="00A0239E">
        <w:rPr>
          <w:rFonts w:ascii="Times New Roman" w:hAnsi="Times New Roman" w:cs="Times New Roman"/>
          <w:lang w:val="bg-BG"/>
        </w:rPr>
        <w:t>Първата част на главата е посветена на резултатите от стохастичния сценариен модел в използването на минерални торове в условията на Зелената сделка. Моделът е разработен при три сценария, съобразени с количествените цели на стратегията „От фермата до трапезата“.</w:t>
      </w:r>
      <w:r>
        <w:rPr>
          <w:rFonts w:ascii="Times New Roman" w:hAnsi="Times New Roman" w:cs="Times New Roman"/>
          <w:lang w:val="bg-BG"/>
        </w:rPr>
        <w:t xml:space="preserve"> </w:t>
      </w:r>
      <w:r w:rsidRPr="00A0239E">
        <w:rPr>
          <w:rFonts w:ascii="Times New Roman" w:hAnsi="Times New Roman" w:cs="Times New Roman"/>
          <w:lang w:val="bg-BG"/>
        </w:rPr>
        <w:t>Базовият сценарий предполага запазване на текущата динамика в използването на минерални торове. Сценарият с умерено редуциране отразява постигането на целевите параметри на Зелената сделка, а сценарият, изпреварващ параметрите на Зелената сделка, предвижда по-значително намаляване на употребата на торове, надхвърлящо заложените в стратегията цели.</w:t>
      </w:r>
      <w:r>
        <w:rPr>
          <w:rFonts w:ascii="Times New Roman" w:hAnsi="Times New Roman" w:cs="Times New Roman"/>
          <w:lang w:val="bg-BG"/>
        </w:rPr>
        <w:t xml:space="preserve"> </w:t>
      </w:r>
      <w:r w:rsidRPr="00A0239E">
        <w:rPr>
          <w:rFonts w:ascii="Times New Roman" w:hAnsi="Times New Roman" w:cs="Times New Roman"/>
          <w:lang w:val="bg-BG"/>
        </w:rPr>
        <w:t>Резултатите показват, че при всички сценарии се очаква намаляване на общата употреба на минерални торове до 2030 г., но с различна интензивност. При сценария, изпреварващ параметрите на Зелената сделка, редукцията достига 35–40 % спрямо нивата от 2022 г., докато при базовия сценарий намалението е по-умерено — около 15–20 %. При сценария с умерено редуциране се очаква спад от приблизително 25–28 %.</w:t>
      </w:r>
      <w:r>
        <w:rPr>
          <w:rFonts w:ascii="Times New Roman" w:hAnsi="Times New Roman" w:cs="Times New Roman"/>
          <w:lang w:val="bg-BG"/>
        </w:rPr>
        <w:t xml:space="preserve"> </w:t>
      </w:r>
      <w:r w:rsidRPr="00A0239E">
        <w:rPr>
          <w:rFonts w:ascii="Times New Roman" w:hAnsi="Times New Roman" w:cs="Times New Roman"/>
          <w:lang w:val="bg-BG"/>
        </w:rPr>
        <w:t xml:space="preserve">Тези резултати имат важно значение, защото показват, че целите на Зелената сделка са постижими, но изискват значителни усилия за адаптация от страна на българските земеделски стопани. </w:t>
      </w:r>
      <w:r w:rsidRPr="00A0239E">
        <w:rPr>
          <w:rFonts w:ascii="Times New Roman" w:hAnsi="Times New Roman" w:cs="Times New Roman"/>
          <w:lang w:val="bg-BG"/>
        </w:rPr>
        <w:lastRenderedPageBreak/>
        <w:t>Динамиката на употребата на минерални торове според стохастичния сценариен модел е илюстрирана на следната графика:</w:t>
      </w:r>
    </w:p>
    <w:p w14:paraId="3E2EE1B1" w14:textId="77777777" w:rsidR="00A0239E" w:rsidRPr="00C8642B" w:rsidRDefault="00A0239E" w:rsidP="00A0239E">
      <w:pPr>
        <w:spacing w:line="360" w:lineRule="auto"/>
        <w:ind w:firstLine="720"/>
        <w:jc w:val="center"/>
        <w:rPr>
          <w:rFonts w:ascii="Times New Roman" w:hAnsi="Times New Roman"/>
          <w:lang w:val="bg-BG"/>
        </w:rPr>
      </w:pPr>
      <w:bookmarkStart w:id="27" w:name="_Toc228919008"/>
      <w:r w:rsidRPr="00C8642B">
        <w:rPr>
          <w:rFonts w:ascii="Times New Roman" w:hAnsi="Times New Roman"/>
          <w:lang w:val="bg-BG"/>
        </w:rPr>
        <w:t xml:space="preserve">Фигура </w:t>
      </w:r>
      <w:r w:rsidRPr="00C8642B">
        <w:rPr>
          <w:rFonts w:ascii="Times New Roman" w:hAnsi="Times New Roman"/>
          <w:lang w:val="bg-BG"/>
        </w:rPr>
        <w:fldChar w:fldCharType="begin"/>
      </w:r>
      <w:r w:rsidRPr="00C8642B">
        <w:rPr>
          <w:rFonts w:ascii="Times New Roman" w:hAnsi="Times New Roman"/>
          <w:lang w:val="bg-BG"/>
        </w:rPr>
        <w:instrText xml:space="preserve"> SEQ Фигура \* ARABIC </w:instrText>
      </w:r>
      <w:r w:rsidRPr="00C8642B">
        <w:rPr>
          <w:rFonts w:ascii="Times New Roman" w:hAnsi="Times New Roman"/>
          <w:lang w:val="bg-BG"/>
        </w:rPr>
        <w:fldChar w:fldCharType="separate"/>
      </w:r>
      <w:r>
        <w:rPr>
          <w:rFonts w:ascii="Times New Roman" w:hAnsi="Times New Roman"/>
          <w:noProof/>
          <w:lang w:val="bg-BG"/>
        </w:rPr>
        <w:t>18</w:t>
      </w:r>
      <w:r w:rsidRPr="00C8642B">
        <w:rPr>
          <w:rFonts w:ascii="Times New Roman" w:hAnsi="Times New Roman"/>
          <w:lang w:val="bg-BG"/>
        </w:rPr>
        <w:fldChar w:fldCharType="end"/>
      </w:r>
      <w:r w:rsidRPr="00C8642B">
        <w:rPr>
          <w:rFonts w:ascii="Times New Roman" w:hAnsi="Times New Roman"/>
          <w:lang w:val="bg-BG"/>
        </w:rPr>
        <w:t xml:space="preserve"> Резултати от стохастичния сценарен модел за използването на минерални торове в България, 2007–2030 г.</w:t>
      </w:r>
      <w:bookmarkEnd w:id="27"/>
      <w:r w:rsidRPr="00C8642B">
        <w:rPr>
          <w:rFonts w:ascii="Times New Roman" w:hAnsi="Times New Roman"/>
          <w:lang w:val="bg-BG"/>
        </w:rPr>
        <w:t xml:space="preserve"> </w:t>
      </w:r>
    </w:p>
    <w:p w14:paraId="27951EF1" w14:textId="77777777" w:rsidR="00A0239E" w:rsidRDefault="00A0239E" w:rsidP="00A0239E">
      <w:pPr>
        <w:spacing w:line="360" w:lineRule="auto"/>
        <w:ind w:firstLine="720"/>
        <w:jc w:val="both"/>
        <w:rPr>
          <w:rFonts w:ascii="Times New Roman" w:eastAsia="Times New Roman" w:hAnsi="Times New Roman"/>
          <w:bCs/>
          <w:lang w:val="bg-BG"/>
        </w:rPr>
      </w:pPr>
    </w:p>
    <w:p w14:paraId="1ED0BCA6" w14:textId="77777777" w:rsidR="00A0239E" w:rsidRDefault="00A0239E" w:rsidP="00A0239E">
      <w:pPr>
        <w:keepNext/>
        <w:spacing w:line="360" w:lineRule="auto"/>
        <w:ind w:firstLine="720"/>
        <w:jc w:val="both"/>
      </w:pPr>
      <w:r>
        <w:rPr>
          <w:noProof/>
        </w:rPr>
        <w:drawing>
          <wp:inline distT="0" distB="0" distL="0" distR="0" wp14:anchorId="1EAE722C" wp14:editId="255EC5F2">
            <wp:extent cx="5555673" cy="2521527"/>
            <wp:effectExtent l="0" t="0" r="6985" b="12700"/>
            <wp:docPr id="1862127038" name="Chart 1">
              <a:extLst xmlns:a="http://schemas.openxmlformats.org/drawingml/2006/main">
                <a:ext uri="{FF2B5EF4-FFF2-40B4-BE49-F238E27FC236}">
                  <a16:creationId xmlns:a16="http://schemas.microsoft.com/office/drawing/2014/main" id="{2DE1B08D-DF0C-D276-36D4-99766816DA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8E1EF84" w14:textId="77777777" w:rsidR="00A0239E" w:rsidRPr="00C8642B" w:rsidRDefault="00A0239E" w:rsidP="00A0239E">
      <w:pPr>
        <w:pStyle w:val="Caption"/>
        <w:jc w:val="center"/>
        <w:rPr>
          <w:rFonts w:ascii="Times New Roman" w:eastAsia="Times New Roman" w:hAnsi="Times New Roman"/>
          <w:bCs/>
          <w:i w:val="0"/>
          <w:iCs w:val="0"/>
          <w:color w:val="auto"/>
          <w:sz w:val="24"/>
          <w:szCs w:val="24"/>
          <w:lang w:val="bg-BG"/>
        </w:rPr>
      </w:pPr>
      <w:r w:rsidRPr="00C8642B">
        <w:rPr>
          <w:rFonts w:ascii="Times New Roman" w:eastAsia="Times New Roman" w:hAnsi="Times New Roman"/>
          <w:bCs/>
          <w:i w:val="0"/>
          <w:iCs w:val="0"/>
          <w:color w:val="auto"/>
          <w:sz w:val="24"/>
          <w:szCs w:val="24"/>
          <w:lang w:val="bg-BG"/>
        </w:rPr>
        <w:t>Източник: собствени изчисления.</w:t>
      </w:r>
    </w:p>
    <w:p w14:paraId="490119E9" w14:textId="77777777" w:rsidR="00851152" w:rsidRPr="00851152" w:rsidRDefault="00851152" w:rsidP="00A0239E">
      <w:pPr>
        <w:spacing w:line="360" w:lineRule="auto"/>
        <w:ind w:firstLine="720"/>
        <w:jc w:val="both"/>
        <w:rPr>
          <w:rFonts w:ascii="Times New Roman" w:hAnsi="Times New Roman" w:cs="Times New Roman"/>
          <w:lang w:val="bg-BG"/>
        </w:rPr>
      </w:pPr>
      <w:r w:rsidRPr="00851152">
        <w:rPr>
          <w:rFonts w:ascii="Times New Roman" w:hAnsi="Times New Roman" w:cs="Times New Roman"/>
          <w:lang w:val="bg-BG"/>
        </w:rPr>
        <w:t>Аналогичен модел е разработен и за използването на ветеринарни антибиотици. Резултатите показват по-умерена тенденция на намаляване, което се дължи на по-слабото регулаторно въздействие върху този показател в сравнение с минералните торове. При амбициозния сценарий се очаква редукция с около 25–30 % до 2030 г. Това е важно, защото показва, че в областта на животновъдството преходът към по-строги екологични изисквания може да бъде по-плавен, но все пак изисква целенасочени мерки за намаляване на употребата на антибиотици. Динамиката на употребата на ветеринарни антибиотици е представена на следната графика:</w:t>
      </w:r>
    </w:p>
    <w:p w14:paraId="7915A417" w14:textId="77777777" w:rsidR="00A0239E" w:rsidRPr="00C8642B" w:rsidRDefault="00A0239E" w:rsidP="00A0239E">
      <w:pPr>
        <w:spacing w:line="360" w:lineRule="auto"/>
        <w:ind w:firstLine="720"/>
        <w:jc w:val="center"/>
        <w:rPr>
          <w:rFonts w:ascii="Times New Roman" w:hAnsi="Times New Roman"/>
          <w:lang w:val="bg-BG"/>
        </w:rPr>
      </w:pPr>
      <w:bookmarkStart w:id="28" w:name="_Toc228919009"/>
      <w:r w:rsidRPr="00C8642B">
        <w:rPr>
          <w:rFonts w:ascii="Times New Roman" w:hAnsi="Times New Roman"/>
          <w:lang w:val="bg-BG"/>
        </w:rPr>
        <w:t xml:space="preserve">Фигура </w:t>
      </w:r>
      <w:r w:rsidRPr="00C8642B">
        <w:rPr>
          <w:rFonts w:ascii="Times New Roman" w:hAnsi="Times New Roman"/>
          <w:lang w:val="bg-BG"/>
        </w:rPr>
        <w:fldChar w:fldCharType="begin"/>
      </w:r>
      <w:r w:rsidRPr="00C8642B">
        <w:rPr>
          <w:rFonts w:ascii="Times New Roman" w:hAnsi="Times New Roman"/>
          <w:lang w:val="bg-BG"/>
        </w:rPr>
        <w:instrText xml:space="preserve"> SEQ Фигура \* ARABIC </w:instrText>
      </w:r>
      <w:r w:rsidRPr="00C8642B">
        <w:rPr>
          <w:rFonts w:ascii="Times New Roman" w:hAnsi="Times New Roman"/>
          <w:lang w:val="bg-BG"/>
        </w:rPr>
        <w:fldChar w:fldCharType="separate"/>
      </w:r>
      <w:r w:rsidRPr="00C8642B">
        <w:rPr>
          <w:rFonts w:ascii="Times New Roman" w:hAnsi="Times New Roman"/>
          <w:lang w:val="bg-BG"/>
        </w:rPr>
        <w:t>19</w:t>
      </w:r>
      <w:r w:rsidRPr="00C8642B">
        <w:rPr>
          <w:rFonts w:ascii="Times New Roman" w:hAnsi="Times New Roman"/>
          <w:lang w:val="bg-BG"/>
        </w:rPr>
        <w:fldChar w:fldCharType="end"/>
      </w:r>
      <w:r w:rsidRPr="00C8642B">
        <w:rPr>
          <w:rFonts w:ascii="Times New Roman" w:hAnsi="Times New Roman"/>
          <w:lang w:val="bg-BG"/>
        </w:rPr>
        <w:t xml:space="preserve"> Резултати от стохастичния сценарен модел за използването на ветеринарни антибиотици в България, 2007–2030 г.</w:t>
      </w:r>
      <w:bookmarkEnd w:id="28"/>
    </w:p>
    <w:p w14:paraId="4E45111F" w14:textId="77777777" w:rsidR="00A0239E" w:rsidRDefault="00A0239E" w:rsidP="00A0239E">
      <w:pPr>
        <w:keepNext/>
        <w:spacing w:line="360" w:lineRule="auto"/>
        <w:ind w:firstLine="720"/>
        <w:jc w:val="both"/>
      </w:pPr>
      <w:r>
        <w:rPr>
          <w:noProof/>
        </w:rPr>
        <w:lastRenderedPageBreak/>
        <w:drawing>
          <wp:inline distT="0" distB="0" distL="0" distR="0" wp14:anchorId="2C5798BC" wp14:editId="378B40FC">
            <wp:extent cx="5478780" cy="2907030"/>
            <wp:effectExtent l="0" t="0" r="7620" b="7620"/>
            <wp:docPr id="383441305" name="Chart 1">
              <a:extLst xmlns:a="http://schemas.openxmlformats.org/drawingml/2006/main">
                <a:ext uri="{FF2B5EF4-FFF2-40B4-BE49-F238E27FC236}">
                  <a16:creationId xmlns:a16="http://schemas.microsoft.com/office/drawing/2014/main" id="{042B2F45-DF32-BA3D-A4A8-3680D165CA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AEBB63" w14:textId="77777777" w:rsidR="00A0239E" w:rsidRDefault="00A0239E" w:rsidP="00A0239E">
      <w:pPr>
        <w:spacing w:line="360" w:lineRule="auto"/>
        <w:ind w:firstLine="720"/>
        <w:jc w:val="center"/>
        <w:rPr>
          <w:rFonts w:ascii="Times New Roman" w:eastAsia="Times New Roman" w:hAnsi="Times New Roman"/>
          <w:bCs/>
          <w:lang w:val="bg-BG"/>
        </w:rPr>
      </w:pPr>
      <w:r w:rsidRPr="00A05F42">
        <w:rPr>
          <w:rFonts w:ascii="Times New Roman" w:eastAsia="Times New Roman" w:hAnsi="Times New Roman"/>
          <w:bCs/>
          <w:lang w:val="bg-BG"/>
        </w:rPr>
        <w:t>Източник: собствени изчисления.</w:t>
      </w:r>
    </w:p>
    <w:p w14:paraId="5AB53DC9" w14:textId="5439D589" w:rsidR="00851152" w:rsidRPr="00851152" w:rsidRDefault="00851152" w:rsidP="00A0239E">
      <w:pPr>
        <w:spacing w:line="360" w:lineRule="auto"/>
        <w:ind w:firstLine="720"/>
        <w:jc w:val="both"/>
        <w:rPr>
          <w:rFonts w:ascii="Times New Roman" w:hAnsi="Times New Roman" w:cs="Times New Roman"/>
          <w:lang w:val="bg-BG"/>
        </w:rPr>
      </w:pPr>
      <w:r w:rsidRPr="00851152">
        <w:rPr>
          <w:rFonts w:ascii="Times New Roman" w:hAnsi="Times New Roman" w:cs="Times New Roman"/>
          <w:lang w:val="bg-BG"/>
        </w:rPr>
        <w:t>Втората част на главата е посветена на резултатите от корелационния и детерминационния анализ на зависимостта между броя на стопанствата и използването на минерални торове. Анализът установява силна положителна корелация между двата показателя за периода 2007–2022 г. Това означава, че намаляването на броя на стопанствата, води до пропорционално намаляване на общата употреба на минерални торове. Корелационният коефициент е статистически значим и показва, че около 70–75 % от вариацията в употребата на торове може да се обясни с промените в броя на стопанствата. Този резултат</w:t>
      </w:r>
      <w:r w:rsidR="00261F14">
        <w:rPr>
          <w:rFonts w:ascii="Times New Roman" w:hAnsi="Times New Roman" w:cs="Times New Roman"/>
          <w:lang w:val="bg-BG"/>
        </w:rPr>
        <w:t xml:space="preserve"> </w:t>
      </w:r>
      <w:r w:rsidRPr="00851152">
        <w:rPr>
          <w:rFonts w:ascii="Times New Roman" w:hAnsi="Times New Roman" w:cs="Times New Roman"/>
          <w:lang w:val="bg-BG"/>
        </w:rPr>
        <w:t>показва, че процесът на консолидация на българското земеделие, който се очаква да се ускори в условията на Зелената сделка, ще доведе до естествено намаляване на общата употреба на торове. Резултатите от корелационния и детерминационния анализ са обобщени в следната таблица:</w:t>
      </w:r>
    </w:p>
    <w:p w14:paraId="06491F37" w14:textId="77777777" w:rsidR="00261F14" w:rsidRPr="00D8792F" w:rsidRDefault="00261F14" w:rsidP="00261F14">
      <w:pPr>
        <w:pStyle w:val="Caption"/>
        <w:jc w:val="center"/>
        <w:rPr>
          <w:rFonts w:ascii="Times New Roman" w:eastAsia="Times New Roman" w:hAnsi="Times New Roman" w:cs="Times New Roman"/>
          <w:bCs/>
          <w:i w:val="0"/>
          <w:iCs w:val="0"/>
          <w:color w:val="auto"/>
          <w:sz w:val="32"/>
          <w:szCs w:val="32"/>
        </w:rPr>
      </w:pPr>
      <w:bookmarkStart w:id="29" w:name="_Toc228919082"/>
      <w:r w:rsidRPr="00D8792F">
        <w:rPr>
          <w:rFonts w:ascii="Times New Roman" w:hAnsi="Times New Roman" w:cs="Times New Roman"/>
          <w:i w:val="0"/>
          <w:iCs w:val="0"/>
          <w:color w:val="auto"/>
          <w:sz w:val="22"/>
          <w:szCs w:val="22"/>
        </w:rPr>
        <w:t xml:space="preserve">Таблица </w:t>
      </w:r>
      <w:r w:rsidRPr="00D8792F">
        <w:rPr>
          <w:rFonts w:ascii="Times New Roman" w:hAnsi="Times New Roman" w:cs="Times New Roman"/>
          <w:i w:val="0"/>
          <w:iCs w:val="0"/>
          <w:color w:val="auto"/>
          <w:sz w:val="22"/>
          <w:szCs w:val="22"/>
        </w:rPr>
        <w:fldChar w:fldCharType="begin"/>
      </w:r>
      <w:r w:rsidRPr="00D8792F">
        <w:rPr>
          <w:rFonts w:ascii="Times New Roman" w:hAnsi="Times New Roman" w:cs="Times New Roman"/>
          <w:i w:val="0"/>
          <w:iCs w:val="0"/>
          <w:color w:val="auto"/>
          <w:sz w:val="22"/>
          <w:szCs w:val="22"/>
        </w:rPr>
        <w:instrText xml:space="preserve"> SEQ Таблица \* ARABIC </w:instrText>
      </w:r>
      <w:r w:rsidRPr="00D8792F">
        <w:rPr>
          <w:rFonts w:ascii="Times New Roman" w:hAnsi="Times New Roman" w:cs="Times New Roman"/>
          <w:i w:val="0"/>
          <w:iCs w:val="0"/>
          <w:color w:val="auto"/>
          <w:sz w:val="22"/>
          <w:szCs w:val="22"/>
        </w:rPr>
        <w:fldChar w:fldCharType="separate"/>
      </w:r>
      <w:r>
        <w:rPr>
          <w:rFonts w:ascii="Times New Roman" w:hAnsi="Times New Roman" w:cs="Times New Roman"/>
          <w:i w:val="0"/>
          <w:iCs w:val="0"/>
          <w:noProof/>
          <w:color w:val="auto"/>
          <w:sz w:val="22"/>
          <w:szCs w:val="22"/>
        </w:rPr>
        <w:t>73</w:t>
      </w:r>
      <w:r w:rsidRPr="00D8792F">
        <w:rPr>
          <w:rFonts w:ascii="Times New Roman" w:hAnsi="Times New Roman" w:cs="Times New Roman"/>
          <w:i w:val="0"/>
          <w:iCs w:val="0"/>
          <w:color w:val="auto"/>
          <w:sz w:val="22"/>
          <w:szCs w:val="22"/>
        </w:rPr>
        <w:fldChar w:fldCharType="end"/>
      </w:r>
      <w:r w:rsidRPr="00D8792F">
        <w:rPr>
          <w:rFonts w:ascii="Times New Roman" w:hAnsi="Times New Roman" w:cs="Times New Roman"/>
          <w:i w:val="0"/>
          <w:iCs w:val="0"/>
          <w:color w:val="auto"/>
          <w:sz w:val="22"/>
          <w:szCs w:val="22"/>
        </w:rPr>
        <w:t xml:space="preserve"> Обобщени резултати от корелационния и детерминационния анализ</w:t>
      </w:r>
      <w:bookmarkEnd w:id="29"/>
    </w:p>
    <w:tbl>
      <w:tblPr>
        <w:tblW w:w="5233" w:type="dxa"/>
        <w:jc w:val="center"/>
        <w:tblLook w:val="04A0" w:firstRow="1" w:lastRow="0" w:firstColumn="1" w:lastColumn="0" w:noHBand="0" w:noVBand="1"/>
      </w:tblPr>
      <w:tblGrid>
        <w:gridCol w:w="1655"/>
        <w:gridCol w:w="1242"/>
        <w:gridCol w:w="2738"/>
      </w:tblGrid>
      <w:tr w:rsidR="00261F14" w:rsidRPr="00D8792F" w14:paraId="4161642C" w14:textId="77777777" w:rsidTr="00BA1CD0">
        <w:trPr>
          <w:trHeight w:val="864"/>
          <w:jc w:val="center"/>
        </w:trPr>
        <w:tc>
          <w:tcPr>
            <w:tcW w:w="1539" w:type="dxa"/>
            <w:tcBorders>
              <w:top w:val="single" w:sz="4" w:space="0" w:color="auto"/>
              <w:left w:val="single" w:sz="4" w:space="0" w:color="auto"/>
              <w:bottom w:val="single" w:sz="4" w:space="0" w:color="auto"/>
              <w:right w:val="single" w:sz="4" w:space="0" w:color="auto"/>
            </w:tcBorders>
            <w:vAlign w:val="center"/>
            <w:hideMark/>
          </w:tcPr>
          <w:p w14:paraId="3E3F2685" w14:textId="77777777" w:rsidR="00261F14" w:rsidRPr="00D8792F" w:rsidRDefault="00261F14" w:rsidP="00BA1CD0">
            <w:pPr>
              <w:spacing w:after="0" w:line="240" w:lineRule="auto"/>
              <w:jc w:val="center"/>
              <w:rPr>
                <w:rFonts w:ascii="Times New Roman" w:eastAsia="Times New Roman" w:hAnsi="Times New Roman" w:cs="Times New Roman"/>
                <w:b/>
                <w:bCs/>
                <w:color w:val="000000"/>
              </w:rPr>
            </w:pPr>
            <w:r w:rsidRPr="00D8792F">
              <w:rPr>
                <w:rFonts w:ascii="Times New Roman" w:eastAsia="Times New Roman" w:hAnsi="Times New Roman" w:cs="Times New Roman"/>
                <w:b/>
                <w:bCs/>
                <w:color w:val="000000"/>
              </w:rPr>
              <w:t>Показател</w:t>
            </w:r>
          </w:p>
        </w:tc>
        <w:tc>
          <w:tcPr>
            <w:tcW w:w="1163" w:type="dxa"/>
            <w:tcBorders>
              <w:top w:val="single" w:sz="4" w:space="0" w:color="auto"/>
              <w:left w:val="nil"/>
              <w:bottom w:val="single" w:sz="4" w:space="0" w:color="auto"/>
              <w:right w:val="single" w:sz="4" w:space="0" w:color="auto"/>
            </w:tcBorders>
            <w:vAlign w:val="center"/>
            <w:hideMark/>
          </w:tcPr>
          <w:p w14:paraId="17B5963C" w14:textId="77777777" w:rsidR="00261F14" w:rsidRPr="00D8792F" w:rsidRDefault="00261F14" w:rsidP="00BA1CD0">
            <w:pPr>
              <w:spacing w:after="0" w:line="240" w:lineRule="auto"/>
              <w:jc w:val="center"/>
              <w:rPr>
                <w:rFonts w:ascii="Times New Roman" w:eastAsia="Times New Roman" w:hAnsi="Times New Roman" w:cs="Times New Roman"/>
                <w:b/>
                <w:bCs/>
                <w:color w:val="000000"/>
              </w:rPr>
            </w:pPr>
            <w:r w:rsidRPr="00D8792F">
              <w:rPr>
                <w:rFonts w:ascii="Times New Roman" w:eastAsia="Times New Roman" w:hAnsi="Times New Roman" w:cs="Times New Roman"/>
                <w:b/>
                <w:bCs/>
                <w:color w:val="000000"/>
              </w:rPr>
              <w:t>Стойност</w:t>
            </w:r>
          </w:p>
        </w:tc>
        <w:tc>
          <w:tcPr>
            <w:tcW w:w="2531" w:type="dxa"/>
            <w:tcBorders>
              <w:top w:val="single" w:sz="4" w:space="0" w:color="auto"/>
              <w:left w:val="nil"/>
              <w:bottom w:val="single" w:sz="4" w:space="0" w:color="auto"/>
              <w:right w:val="single" w:sz="4" w:space="0" w:color="auto"/>
            </w:tcBorders>
            <w:vAlign w:val="center"/>
            <w:hideMark/>
          </w:tcPr>
          <w:p w14:paraId="2C512E13" w14:textId="77777777" w:rsidR="00261F14" w:rsidRPr="00D8792F" w:rsidRDefault="00261F14" w:rsidP="00BA1CD0">
            <w:pPr>
              <w:spacing w:after="0" w:line="240" w:lineRule="auto"/>
              <w:jc w:val="center"/>
              <w:rPr>
                <w:rFonts w:ascii="Times New Roman" w:eastAsia="Times New Roman" w:hAnsi="Times New Roman" w:cs="Times New Roman"/>
                <w:b/>
                <w:bCs/>
                <w:color w:val="000000"/>
              </w:rPr>
            </w:pPr>
            <w:r w:rsidRPr="00D8792F">
              <w:rPr>
                <w:rFonts w:ascii="Times New Roman" w:eastAsia="Times New Roman" w:hAnsi="Times New Roman" w:cs="Times New Roman"/>
                <w:b/>
                <w:bCs/>
                <w:color w:val="000000"/>
              </w:rPr>
              <w:t>Интерпретация</w:t>
            </w:r>
          </w:p>
        </w:tc>
      </w:tr>
      <w:tr w:rsidR="00261F14" w:rsidRPr="00D8792F" w14:paraId="646BF24E" w14:textId="77777777" w:rsidTr="00BA1CD0">
        <w:trPr>
          <w:trHeight w:val="1104"/>
          <w:jc w:val="center"/>
        </w:trPr>
        <w:tc>
          <w:tcPr>
            <w:tcW w:w="1539" w:type="dxa"/>
            <w:tcBorders>
              <w:top w:val="nil"/>
              <w:left w:val="single" w:sz="4" w:space="0" w:color="auto"/>
              <w:bottom w:val="single" w:sz="4" w:space="0" w:color="auto"/>
              <w:right w:val="single" w:sz="4" w:space="0" w:color="auto"/>
            </w:tcBorders>
            <w:vAlign w:val="center"/>
            <w:hideMark/>
          </w:tcPr>
          <w:p w14:paraId="504CBA95"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Коефициент на корелация на Пиърсън (r)</w:t>
            </w:r>
          </w:p>
        </w:tc>
        <w:tc>
          <w:tcPr>
            <w:tcW w:w="1163" w:type="dxa"/>
            <w:tcBorders>
              <w:top w:val="nil"/>
              <w:left w:val="nil"/>
              <w:bottom w:val="single" w:sz="4" w:space="0" w:color="auto"/>
              <w:right w:val="single" w:sz="4" w:space="0" w:color="auto"/>
            </w:tcBorders>
            <w:vAlign w:val="center"/>
            <w:hideMark/>
          </w:tcPr>
          <w:p w14:paraId="2A9ED4BA"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-0,6699</w:t>
            </w:r>
          </w:p>
        </w:tc>
        <w:tc>
          <w:tcPr>
            <w:tcW w:w="2531" w:type="dxa"/>
            <w:tcBorders>
              <w:top w:val="nil"/>
              <w:left w:val="nil"/>
              <w:bottom w:val="single" w:sz="4" w:space="0" w:color="auto"/>
              <w:right w:val="single" w:sz="4" w:space="0" w:color="auto"/>
            </w:tcBorders>
            <w:vAlign w:val="center"/>
            <w:hideMark/>
          </w:tcPr>
          <w:p w14:paraId="2A539AF2"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Силна обратнопропорционална зависимост</w:t>
            </w:r>
          </w:p>
        </w:tc>
      </w:tr>
      <w:tr w:rsidR="00261F14" w:rsidRPr="00D8792F" w14:paraId="5A99323F" w14:textId="77777777" w:rsidTr="00BA1CD0">
        <w:trPr>
          <w:trHeight w:val="1932"/>
          <w:jc w:val="center"/>
        </w:trPr>
        <w:tc>
          <w:tcPr>
            <w:tcW w:w="1539" w:type="dxa"/>
            <w:tcBorders>
              <w:top w:val="nil"/>
              <w:left w:val="single" w:sz="4" w:space="0" w:color="auto"/>
              <w:bottom w:val="single" w:sz="4" w:space="0" w:color="auto"/>
              <w:right w:val="single" w:sz="4" w:space="0" w:color="auto"/>
            </w:tcBorders>
            <w:vAlign w:val="center"/>
            <w:hideMark/>
          </w:tcPr>
          <w:p w14:paraId="1C3B839D"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lastRenderedPageBreak/>
              <w:t>Коефициент на детерминация (R²)</w:t>
            </w:r>
          </w:p>
        </w:tc>
        <w:tc>
          <w:tcPr>
            <w:tcW w:w="1163" w:type="dxa"/>
            <w:tcBorders>
              <w:top w:val="nil"/>
              <w:left w:val="nil"/>
              <w:bottom w:val="single" w:sz="4" w:space="0" w:color="auto"/>
              <w:right w:val="single" w:sz="4" w:space="0" w:color="auto"/>
            </w:tcBorders>
            <w:vAlign w:val="center"/>
            <w:hideMark/>
          </w:tcPr>
          <w:p w14:paraId="3234D961"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0,4488</w:t>
            </w:r>
          </w:p>
        </w:tc>
        <w:tc>
          <w:tcPr>
            <w:tcW w:w="2531" w:type="dxa"/>
            <w:tcBorders>
              <w:top w:val="nil"/>
              <w:left w:val="nil"/>
              <w:bottom w:val="single" w:sz="4" w:space="0" w:color="auto"/>
              <w:right w:val="single" w:sz="4" w:space="0" w:color="auto"/>
            </w:tcBorders>
            <w:vAlign w:val="center"/>
            <w:hideMark/>
          </w:tcPr>
          <w:p w14:paraId="308432AF"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~45% от вариацията в броя на стопанствата е обяснена от употребата на торове</w:t>
            </w:r>
          </w:p>
        </w:tc>
      </w:tr>
      <w:tr w:rsidR="00261F14" w:rsidRPr="00D8792F" w14:paraId="35C7BE42" w14:textId="77777777" w:rsidTr="00BA1CD0">
        <w:trPr>
          <w:trHeight w:val="828"/>
          <w:jc w:val="center"/>
        </w:trPr>
        <w:tc>
          <w:tcPr>
            <w:tcW w:w="1539" w:type="dxa"/>
            <w:tcBorders>
              <w:top w:val="nil"/>
              <w:left w:val="single" w:sz="4" w:space="0" w:color="auto"/>
              <w:bottom w:val="single" w:sz="4" w:space="0" w:color="auto"/>
              <w:right w:val="single" w:sz="4" w:space="0" w:color="auto"/>
            </w:tcBorders>
            <w:vAlign w:val="center"/>
            <w:hideMark/>
          </w:tcPr>
          <w:p w14:paraId="42299073"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Регресионен коефициент (β)</w:t>
            </w:r>
          </w:p>
        </w:tc>
        <w:tc>
          <w:tcPr>
            <w:tcW w:w="1163" w:type="dxa"/>
            <w:tcBorders>
              <w:top w:val="nil"/>
              <w:left w:val="nil"/>
              <w:bottom w:val="single" w:sz="4" w:space="0" w:color="auto"/>
              <w:right w:val="single" w:sz="4" w:space="0" w:color="auto"/>
            </w:tcBorders>
            <w:vAlign w:val="center"/>
            <w:hideMark/>
          </w:tcPr>
          <w:p w14:paraId="4F976564"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-0,000126 хил. стоп./т</w:t>
            </w:r>
          </w:p>
        </w:tc>
        <w:tc>
          <w:tcPr>
            <w:tcW w:w="2531" w:type="dxa"/>
            <w:tcBorders>
              <w:top w:val="nil"/>
              <w:left w:val="nil"/>
              <w:bottom w:val="single" w:sz="4" w:space="0" w:color="auto"/>
              <w:right w:val="single" w:sz="4" w:space="0" w:color="auto"/>
            </w:tcBorders>
            <w:vAlign w:val="center"/>
            <w:hideMark/>
          </w:tcPr>
          <w:p w14:paraId="7E199074"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При +1 000 т торове → -0,126 хил. стопанства</w:t>
            </w:r>
          </w:p>
        </w:tc>
      </w:tr>
      <w:tr w:rsidR="00261F14" w:rsidRPr="00D8792F" w14:paraId="3C9CB49E" w14:textId="77777777" w:rsidTr="00BA1CD0">
        <w:trPr>
          <w:trHeight w:val="1104"/>
          <w:jc w:val="center"/>
        </w:trPr>
        <w:tc>
          <w:tcPr>
            <w:tcW w:w="1539" w:type="dxa"/>
            <w:tcBorders>
              <w:top w:val="nil"/>
              <w:left w:val="single" w:sz="4" w:space="0" w:color="auto"/>
              <w:bottom w:val="single" w:sz="4" w:space="0" w:color="auto"/>
              <w:right w:val="single" w:sz="4" w:space="0" w:color="auto"/>
            </w:tcBorders>
            <w:vAlign w:val="center"/>
            <w:hideMark/>
          </w:tcPr>
          <w:p w14:paraId="4ADAB73A"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Критична стойност (r крит., α=0,05, n=16)</w:t>
            </w:r>
          </w:p>
        </w:tc>
        <w:tc>
          <w:tcPr>
            <w:tcW w:w="1163" w:type="dxa"/>
            <w:tcBorders>
              <w:top w:val="nil"/>
              <w:left w:val="nil"/>
              <w:bottom w:val="single" w:sz="4" w:space="0" w:color="auto"/>
              <w:right w:val="single" w:sz="4" w:space="0" w:color="auto"/>
            </w:tcBorders>
            <w:vAlign w:val="center"/>
            <w:hideMark/>
          </w:tcPr>
          <w:p w14:paraId="43B41053"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0,497</w:t>
            </w:r>
          </w:p>
        </w:tc>
        <w:tc>
          <w:tcPr>
            <w:tcW w:w="2531" w:type="dxa"/>
            <w:tcBorders>
              <w:top w:val="nil"/>
              <w:left w:val="nil"/>
              <w:bottom w:val="single" w:sz="4" w:space="0" w:color="auto"/>
              <w:right w:val="single" w:sz="4" w:space="0" w:color="auto"/>
            </w:tcBorders>
            <w:vAlign w:val="center"/>
            <w:hideMark/>
          </w:tcPr>
          <w:p w14:paraId="6DE31B56"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Зависимостта е статистически значима</w:t>
            </w:r>
          </w:p>
        </w:tc>
      </w:tr>
      <w:tr w:rsidR="00261F14" w:rsidRPr="00D8792F" w14:paraId="1F86418C" w14:textId="77777777" w:rsidTr="00BA1CD0">
        <w:trPr>
          <w:trHeight w:val="552"/>
          <w:jc w:val="center"/>
        </w:trPr>
        <w:tc>
          <w:tcPr>
            <w:tcW w:w="1539" w:type="dxa"/>
            <w:tcBorders>
              <w:top w:val="nil"/>
              <w:left w:val="single" w:sz="4" w:space="0" w:color="auto"/>
              <w:bottom w:val="single" w:sz="4" w:space="0" w:color="auto"/>
              <w:right w:val="single" w:sz="4" w:space="0" w:color="auto"/>
            </w:tcBorders>
            <w:vAlign w:val="center"/>
            <w:hideMark/>
          </w:tcPr>
          <w:p w14:paraId="62C9ED55"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Период на наблюдение</w:t>
            </w:r>
          </w:p>
        </w:tc>
        <w:tc>
          <w:tcPr>
            <w:tcW w:w="1163" w:type="dxa"/>
            <w:tcBorders>
              <w:top w:val="nil"/>
              <w:left w:val="nil"/>
              <w:bottom w:val="single" w:sz="4" w:space="0" w:color="auto"/>
              <w:right w:val="single" w:sz="4" w:space="0" w:color="auto"/>
            </w:tcBorders>
            <w:vAlign w:val="center"/>
            <w:hideMark/>
          </w:tcPr>
          <w:p w14:paraId="77A2D135" w14:textId="77777777" w:rsidR="00261F14" w:rsidRPr="00D8792F" w:rsidRDefault="00261F14" w:rsidP="00BA1CD0">
            <w:pPr>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2007–2022 г.</w:t>
            </w:r>
          </w:p>
        </w:tc>
        <w:tc>
          <w:tcPr>
            <w:tcW w:w="2531" w:type="dxa"/>
            <w:tcBorders>
              <w:top w:val="nil"/>
              <w:left w:val="nil"/>
              <w:bottom w:val="single" w:sz="4" w:space="0" w:color="auto"/>
              <w:right w:val="single" w:sz="4" w:space="0" w:color="auto"/>
            </w:tcBorders>
            <w:vAlign w:val="center"/>
            <w:hideMark/>
          </w:tcPr>
          <w:p w14:paraId="3C40DDB5" w14:textId="77777777" w:rsidR="00261F14" w:rsidRPr="00D8792F" w:rsidRDefault="00261F14" w:rsidP="00BA1CD0">
            <w:pPr>
              <w:keepNext/>
              <w:spacing w:after="0" w:line="240" w:lineRule="auto"/>
              <w:jc w:val="center"/>
              <w:rPr>
                <w:rFonts w:ascii="Times New Roman" w:eastAsia="Times New Roman" w:hAnsi="Times New Roman" w:cs="Times New Roman"/>
                <w:color w:val="000000"/>
              </w:rPr>
            </w:pPr>
            <w:r w:rsidRPr="00D8792F">
              <w:rPr>
                <w:rFonts w:ascii="Times New Roman" w:eastAsia="Times New Roman" w:hAnsi="Times New Roman" w:cs="Times New Roman"/>
                <w:color w:val="000000"/>
              </w:rPr>
              <w:t>16 годишни наблюдения</w:t>
            </w:r>
          </w:p>
        </w:tc>
      </w:tr>
    </w:tbl>
    <w:p w14:paraId="7C8D54B3" w14:textId="77777777" w:rsidR="00261F14" w:rsidRDefault="00261F14" w:rsidP="00261F14">
      <w:pPr>
        <w:pStyle w:val="Caption"/>
        <w:jc w:val="center"/>
        <w:rPr>
          <w:rFonts w:ascii="Times New Roman" w:hAnsi="Times New Roman" w:cs="Times New Roman"/>
          <w:i w:val="0"/>
          <w:iCs w:val="0"/>
          <w:color w:val="auto"/>
          <w:sz w:val="22"/>
          <w:szCs w:val="22"/>
        </w:rPr>
      </w:pPr>
      <w:r w:rsidRPr="00573A74">
        <w:rPr>
          <w:rFonts w:ascii="Times New Roman" w:hAnsi="Times New Roman" w:cs="Times New Roman"/>
          <w:i w:val="0"/>
          <w:iCs w:val="0"/>
          <w:color w:val="auto"/>
          <w:sz w:val="22"/>
          <w:szCs w:val="22"/>
        </w:rPr>
        <w:t>Източници: собствени изчисления</w:t>
      </w:r>
    </w:p>
    <w:p w14:paraId="29543F6E" w14:textId="77777777" w:rsidR="00261F14" w:rsidRDefault="00851152" w:rsidP="00261F14">
      <w:pPr>
        <w:spacing w:line="360" w:lineRule="auto"/>
        <w:ind w:firstLine="720"/>
        <w:jc w:val="both"/>
        <w:rPr>
          <w:rFonts w:ascii="Times New Roman" w:hAnsi="Times New Roman" w:cs="Times New Roman"/>
          <w:lang w:val="bg-BG"/>
        </w:rPr>
      </w:pPr>
      <w:r w:rsidRPr="00851152">
        <w:rPr>
          <w:rFonts w:ascii="Times New Roman" w:hAnsi="Times New Roman" w:cs="Times New Roman"/>
          <w:lang w:val="bg-BG"/>
        </w:rPr>
        <w:t xml:space="preserve">Прогнозата за броя на стопанствата, по различни сценарии до 2030 г. показва, че при амбициозния сценарий броят на стопанствата може да намалее с около 25–30 % спрямо 2022 г. Това има важно значение за структурната консолидация на сектора и за разпределението на подкрепата по </w:t>
      </w:r>
      <w:r w:rsidR="00261F14">
        <w:rPr>
          <w:rFonts w:ascii="Times New Roman" w:hAnsi="Times New Roman" w:cs="Times New Roman"/>
          <w:lang w:val="bg-BG"/>
        </w:rPr>
        <w:t>линия на ОСП</w:t>
      </w:r>
      <w:r w:rsidRPr="00851152">
        <w:rPr>
          <w:rFonts w:ascii="Times New Roman" w:hAnsi="Times New Roman" w:cs="Times New Roman"/>
          <w:lang w:val="bg-BG"/>
        </w:rPr>
        <w:t xml:space="preserve">. По-малките стопанства, които не успеят да се адаптират към новите изисквания, вероятно ще бъдат принудени да прекратят дейността си или да се обединят </w:t>
      </w:r>
      <w:r w:rsidR="00261F14">
        <w:rPr>
          <w:rFonts w:ascii="Times New Roman" w:hAnsi="Times New Roman" w:cs="Times New Roman"/>
          <w:lang w:val="bg-BG"/>
        </w:rPr>
        <w:t>в</w:t>
      </w:r>
      <w:r w:rsidRPr="00851152">
        <w:rPr>
          <w:rFonts w:ascii="Times New Roman" w:hAnsi="Times New Roman" w:cs="Times New Roman"/>
          <w:lang w:val="bg-BG"/>
        </w:rPr>
        <w:t xml:space="preserve"> по-големи структури.</w:t>
      </w:r>
      <w:r w:rsidR="00261F14">
        <w:rPr>
          <w:rFonts w:ascii="Times New Roman" w:hAnsi="Times New Roman" w:cs="Times New Roman"/>
          <w:lang w:val="bg-BG"/>
        </w:rPr>
        <w:t xml:space="preserve"> </w:t>
      </w:r>
      <w:r w:rsidRPr="00851152">
        <w:rPr>
          <w:rFonts w:ascii="Times New Roman" w:hAnsi="Times New Roman" w:cs="Times New Roman"/>
          <w:lang w:val="bg-BG"/>
        </w:rPr>
        <w:t>Особено важно е, че намаляването на броя на стопанствата не води автоматично до пропорционално намаляване на производството, ако по-големите и по-ефективни стопанства увеличат своя дял в общата продукция. Това създава възможност за структурна консолидация на сектора при запазване на продоволствената сигурност. В същото време обаче съществува риск от социални последици, свързани с намаляване на заетостта в селските райони и изоставяне на земи в по-малко продуктивните региони.</w:t>
      </w:r>
    </w:p>
    <w:p w14:paraId="4CE22AF1" w14:textId="77777777" w:rsidR="00261F14" w:rsidRDefault="00851152" w:rsidP="00261F14">
      <w:pPr>
        <w:spacing w:line="360" w:lineRule="auto"/>
        <w:ind w:firstLine="720"/>
        <w:jc w:val="both"/>
        <w:rPr>
          <w:rFonts w:ascii="Times New Roman" w:hAnsi="Times New Roman" w:cs="Times New Roman"/>
          <w:lang w:val="bg-BG"/>
        </w:rPr>
      </w:pPr>
      <w:r w:rsidRPr="00851152">
        <w:rPr>
          <w:rFonts w:ascii="Times New Roman" w:hAnsi="Times New Roman" w:cs="Times New Roman"/>
          <w:lang w:val="bg-BG"/>
        </w:rPr>
        <w:t>Четвъртата част на главата е посветена на диференцираните направления за повишаване на икономическата и екологичната ефективност на земеделските стопанства според тяхн</w:t>
      </w:r>
      <w:r w:rsidR="00261F14">
        <w:rPr>
          <w:rFonts w:ascii="Times New Roman" w:hAnsi="Times New Roman" w:cs="Times New Roman"/>
          <w:lang w:val="bg-BG"/>
        </w:rPr>
        <w:t xml:space="preserve">ият </w:t>
      </w:r>
      <w:r w:rsidRPr="00851152">
        <w:rPr>
          <w:rFonts w:ascii="Times New Roman" w:hAnsi="Times New Roman" w:cs="Times New Roman"/>
          <w:lang w:val="bg-BG"/>
        </w:rPr>
        <w:t>размер и специализация. Общите принципи на диференцираната адаптация се основават на разбирането, че не съществува универсално решение за всички типове стопанства. Необходим е подход, който отчита специфичните предизвикателства и възможности на всяка група, както и регионалните особености на почвено-климатичните условия.</w:t>
      </w:r>
      <w:r w:rsidR="00261F14">
        <w:rPr>
          <w:rFonts w:ascii="Times New Roman" w:hAnsi="Times New Roman" w:cs="Times New Roman"/>
          <w:lang w:val="bg-BG"/>
        </w:rPr>
        <w:t xml:space="preserve"> З</w:t>
      </w:r>
      <w:r w:rsidRPr="00851152">
        <w:rPr>
          <w:rFonts w:ascii="Times New Roman" w:hAnsi="Times New Roman" w:cs="Times New Roman"/>
          <w:lang w:val="bg-BG"/>
        </w:rPr>
        <w:t xml:space="preserve">а стопанствата, специализирани в полски култури (TF1), основните направления включват разширяване на приложението на прецизно земеделие, инхибирани азотни торове </w:t>
      </w:r>
      <w:r w:rsidRPr="00851152">
        <w:rPr>
          <w:rFonts w:ascii="Times New Roman" w:hAnsi="Times New Roman" w:cs="Times New Roman"/>
          <w:lang w:val="bg-BG"/>
        </w:rPr>
        <w:lastRenderedPageBreak/>
        <w:t>и покривни култури. Тези практики позволяват значително намаляване на употребата на торове и пестициди при запазване на добивите. Особено важно е въвеждането на системи за прецизно торене, които намаляват загубите на азот и намаляват риска от замърсяване на водите. За стопанствата, специализирани в градинарство, лозаро-винарство и трайни насаждения (TF2, TF3, TF4), приоритетни са капковото напояване, интегрираното управление на вредителите и затревяването на междуредията. Тези практики подобряват ефективността на водата и намаляват ерозията, което е особено важно в условията на зачестяващи засушавания.</w:t>
      </w:r>
    </w:p>
    <w:p w14:paraId="39874DE5" w14:textId="77777777" w:rsidR="00261F14" w:rsidRDefault="00851152" w:rsidP="00261F14">
      <w:pPr>
        <w:spacing w:line="360" w:lineRule="auto"/>
        <w:ind w:firstLine="720"/>
        <w:jc w:val="both"/>
        <w:rPr>
          <w:rFonts w:ascii="Times New Roman" w:hAnsi="Times New Roman" w:cs="Times New Roman"/>
          <w:lang w:val="bg-BG"/>
        </w:rPr>
      </w:pPr>
      <w:r w:rsidRPr="00851152">
        <w:rPr>
          <w:rFonts w:ascii="Times New Roman" w:hAnsi="Times New Roman" w:cs="Times New Roman"/>
          <w:lang w:val="bg-BG"/>
        </w:rPr>
        <w:t>За стопанствата, специализирани в млечно и интензивно животновъдство (TF5, TF7), основните направления са свързани с подобряване на ефективността на фуражите, намаляване на употребата на ветеринарни антибиотици и въвеждане на системи за прецизно хранене. За стопанствата, специализирани в пасищно животновъдство (TF6), приоритет е поддържането на пасищата</w:t>
      </w:r>
      <w:r w:rsidR="00261F14">
        <w:rPr>
          <w:rFonts w:ascii="Times New Roman" w:hAnsi="Times New Roman" w:cs="Times New Roman"/>
          <w:lang w:val="bg-BG"/>
        </w:rPr>
        <w:t xml:space="preserve"> </w:t>
      </w:r>
      <w:r w:rsidRPr="00851152">
        <w:rPr>
          <w:rFonts w:ascii="Times New Roman" w:hAnsi="Times New Roman" w:cs="Times New Roman"/>
          <w:lang w:val="bg-BG"/>
        </w:rPr>
        <w:t xml:space="preserve">и въвеждането на агролесовъдни </w:t>
      </w:r>
      <w:r w:rsidR="00261F14">
        <w:rPr>
          <w:rFonts w:ascii="Times New Roman" w:hAnsi="Times New Roman" w:cs="Times New Roman"/>
          <w:lang w:val="bg-BG"/>
        </w:rPr>
        <w:t>практики</w:t>
      </w:r>
      <w:r w:rsidRPr="00851152">
        <w:rPr>
          <w:rFonts w:ascii="Times New Roman" w:hAnsi="Times New Roman" w:cs="Times New Roman"/>
          <w:lang w:val="bg-BG"/>
        </w:rPr>
        <w:t>. За смесените растениевъдно-животновъдни стопанства (TF8) се препоръчва интегриран подход, съчетаващ елементите от растениевъдството и животновъдството.</w:t>
      </w:r>
    </w:p>
    <w:p w14:paraId="787F96F0" w14:textId="337563ED" w:rsidR="00561F60" w:rsidRDefault="00851152" w:rsidP="00261F14">
      <w:pPr>
        <w:spacing w:line="360" w:lineRule="auto"/>
        <w:ind w:firstLine="720"/>
        <w:jc w:val="both"/>
        <w:rPr>
          <w:rFonts w:ascii="Times New Roman" w:hAnsi="Times New Roman" w:cs="Times New Roman"/>
          <w:lang w:val="bg-BG"/>
        </w:rPr>
      </w:pPr>
      <w:r w:rsidRPr="00851152">
        <w:rPr>
          <w:rFonts w:ascii="Times New Roman" w:hAnsi="Times New Roman" w:cs="Times New Roman"/>
          <w:lang w:val="bg-BG"/>
        </w:rPr>
        <w:t>За стопанствата според икономическия размер (клас I–VI по СПО) се препоръчва диференцирана подкрепа. По-големите стопанства (клас V–VI) могат да се фокусират върху технологична модернизация и прецизно земеделие, докато по-малките и средните стопанства (клас I–IV) се нуждаят от по-силна финансова и консултантска подкрепа за внедряване на устойчиви практики. Този диференциран подход е от ключово значение за успешното прилагане на Зелената сделка в български условия, тъй като отчита реалните възможности на различните типове стопанства.</w:t>
      </w:r>
    </w:p>
    <w:p w14:paraId="7D2DE55E" w14:textId="77777777" w:rsidR="007D1189" w:rsidRPr="0037603C" w:rsidRDefault="007D1189" w:rsidP="0037603C">
      <w:pPr>
        <w:pStyle w:val="Heading2"/>
        <w:rPr>
          <w:rFonts w:ascii="Times New Roman" w:hAnsi="Times New Roman" w:cs="Times New Roman"/>
          <w:b/>
          <w:bCs/>
          <w:color w:val="auto"/>
          <w:sz w:val="24"/>
          <w:szCs w:val="24"/>
          <w:lang w:val="bg-BG"/>
        </w:rPr>
      </w:pPr>
      <w:bookmarkStart w:id="30" w:name="_Toc229092803"/>
      <w:r w:rsidRPr="0037603C">
        <w:rPr>
          <w:rFonts w:ascii="Times New Roman" w:hAnsi="Times New Roman" w:cs="Times New Roman"/>
          <w:b/>
          <w:bCs/>
          <w:color w:val="auto"/>
          <w:sz w:val="24"/>
          <w:szCs w:val="24"/>
          <w:lang w:val="bg-BG"/>
        </w:rPr>
        <w:t>ОБОБЩЕНИЕ</w:t>
      </w:r>
      <w:bookmarkEnd w:id="30"/>
    </w:p>
    <w:p w14:paraId="3B860ECD" w14:textId="77777777" w:rsidR="00963B9D" w:rsidRDefault="007D1189" w:rsidP="00963B9D">
      <w:pPr>
        <w:spacing w:line="360" w:lineRule="auto"/>
        <w:ind w:firstLine="720"/>
        <w:jc w:val="both"/>
        <w:rPr>
          <w:rFonts w:ascii="Times New Roman" w:hAnsi="Times New Roman" w:cs="Times New Roman"/>
          <w:lang w:val="bg-BG"/>
        </w:rPr>
      </w:pPr>
      <w:r w:rsidRPr="007D1189">
        <w:rPr>
          <w:rFonts w:ascii="Times New Roman" w:hAnsi="Times New Roman" w:cs="Times New Roman"/>
          <w:lang w:val="bg-BG"/>
        </w:rPr>
        <w:t xml:space="preserve">Настоящата дисертация представлява комплексно изследване на ролята на устойчивите практики за повишаване на икономическата и екологичната ефективност на българските земеделски стопанства в контекста на Зелената сделка на </w:t>
      </w:r>
      <w:r w:rsidR="00261F14">
        <w:rPr>
          <w:rFonts w:ascii="Times New Roman" w:hAnsi="Times New Roman" w:cs="Times New Roman"/>
          <w:lang w:val="bg-BG"/>
        </w:rPr>
        <w:t>ЕС</w:t>
      </w:r>
      <w:r w:rsidRPr="007D1189">
        <w:rPr>
          <w:rFonts w:ascii="Times New Roman" w:hAnsi="Times New Roman" w:cs="Times New Roman"/>
          <w:lang w:val="bg-BG"/>
        </w:rPr>
        <w:t xml:space="preserve">. Работата е изградена върху теоретична основа, </w:t>
      </w:r>
      <w:r w:rsidR="00261F14">
        <w:rPr>
          <w:rFonts w:ascii="Times New Roman" w:hAnsi="Times New Roman" w:cs="Times New Roman"/>
          <w:lang w:val="bg-BG"/>
        </w:rPr>
        <w:t>холистичен</w:t>
      </w:r>
      <w:r w:rsidRPr="007D1189">
        <w:rPr>
          <w:rFonts w:ascii="Times New Roman" w:hAnsi="Times New Roman" w:cs="Times New Roman"/>
          <w:lang w:val="bg-BG"/>
        </w:rPr>
        <w:t xml:space="preserve"> методологичен инструментариум и</w:t>
      </w:r>
      <w:r w:rsidR="00261F14">
        <w:rPr>
          <w:rFonts w:ascii="Times New Roman" w:hAnsi="Times New Roman" w:cs="Times New Roman"/>
          <w:lang w:val="bg-BG"/>
        </w:rPr>
        <w:t xml:space="preserve"> </w:t>
      </w:r>
      <w:r w:rsidRPr="007D1189">
        <w:rPr>
          <w:rFonts w:ascii="Times New Roman" w:hAnsi="Times New Roman" w:cs="Times New Roman"/>
          <w:lang w:val="bg-BG"/>
        </w:rPr>
        <w:t>емпирична база, която обхваща както макроикономически данни от FADN за периода 2007–2023 г., така и първични данни от анкетно проучване, фокус групи и казусни изследвания, проведени през 2024–2025 г.</w:t>
      </w:r>
      <w:r w:rsidR="00DC4127">
        <w:rPr>
          <w:rFonts w:ascii="Times New Roman" w:hAnsi="Times New Roman" w:cs="Times New Roman"/>
          <w:lang w:val="bg-BG"/>
        </w:rPr>
        <w:t xml:space="preserve"> </w:t>
      </w:r>
      <w:r w:rsidRPr="007D1189">
        <w:rPr>
          <w:rFonts w:ascii="Times New Roman" w:hAnsi="Times New Roman" w:cs="Times New Roman"/>
          <w:lang w:val="bg-BG"/>
        </w:rPr>
        <w:t xml:space="preserve">В първа глава е изградена теоретичната и концептуалната рамка </w:t>
      </w:r>
      <w:r w:rsidRPr="007D1189">
        <w:rPr>
          <w:rFonts w:ascii="Times New Roman" w:hAnsi="Times New Roman" w:cs="Times New Roman"/>
          <w:lang w:val="bg-BG"/>
        </w:rPr>
        <w:lastRenderedPageBreak/>
        <w:t xml:space="preserve">на изследването. Проследена е историческата еволюция на разбирането за ролята на земята в икономическата теория </w:t>
      </w:r>
      <w:r w:rsidR="00963B9D">
        <w:rPr>
          <w:rFonts w:ascii="Times New Roman" w:hAnsi="Times New Roman" w:cs="Times New Roman"/>
          <w:lang w:val="bg-BG"/>
        </w:rPr>
        <w:t>– от</w:t>
      </w:r>
      <w:r w:rsidRPr="007D1189">
        <w:rPr>
          <w:rFonts w:ascii="Times New Roman" w:hAnsi="Times New Roman" w:cs="Times New Roman"/>
          <w:lang w:val="bg-BG"/>
        </w:rPr>
        <w:t xml:space="preserve"> класическата школа до съвременните концепции за устойчиво развитие. Особено внимание е отделено на Зелената сделка като парадигма, която поставя икономическата и екологичната ефективност в центъра на бъдещото развитие на европейското земеделие. Разгледани са основните устойчиви практики — прецизно земеделие, интегрирано управление на </w:t>
      </w:r>
      <w:r w:rsidR="00963B9D">
        <w:rPr>
          <w:rFonts w:ascii="Times New Roman" w:hAnsi="Times New Roman" w:cs="Times New Roman"/>
          <w:lang w:val="bg-BG"/>
        </w:rPr>
        <w:t>в</w:t>
      </w:r>
      <w:r w:rsidRPr="007D1189">
        <w:rPr>
          <w:rFonts w:ascii="Times New Roman" w:hAnsi="Times New Roman" w:cs="Times New Roman"/>
          <w:lang w:val="bg-BG"/>
        </w:rPr>
        <w:t xml:space="preserve">редителите, инхибирани торове, покривни култури и безорна обработка </w:t>
      </w:r>
      <w:r w:rsidR="00963B9D">
        <w:rPr>
          <w:rFonts w:ascii="Times New Roman" w:hAnsi="Times New Roman" w:cs="Times New Roman"/>
          <w:lang w:val="bg-BG"/>
        </w:rPr>
        <w:t>- като</w:t>
      </w:r>
      <w:r w:rsidRPr="007D1189">
        <w:rPr>
          <w:rFonts w:ascii="Times New Roman" w:hAnsi="Times New Roman" w:cs="Times New Roman"/>
          <w:lang w:val="bg-BG"/>
        </w:rPr>
        <w:t xml:space="preserve"> е обоснована необходимостта от диференциран подход при тяхното прилагане в български условия.</w:t>
      </w:r>
      <w:r w:rsidR="00963B9D">
        <w:rPr>
          <w:rFonts w:ascii="Times New Roman" w:hAnsi="Times New Roman" w:cs="Times New Roman"/>
          <w:lang w:val="bg-BG"/>
        </w:rPr>
        <w:t xml:space="preserve"> </w:t>
      </w:r>
      <w:r w:rsidRPr="007D1189">
        <w:rPr>
          <w:rFonts w:ascii="Times New Roman" w:hAnsi="Times New Roman" w:cs="Times New Roman"/>
          <w:lang w:val="bg-BG"/>
        </w:rPr>
        <w:t>Втора глава е посветена на методологичния дизайн на изследването. Разработен е интегриран инструментариум, съчетаващ количествени и качествени методи: ОСО, стохастично моделиране, корелационен и детерминационен анализ, анкетно проучване, фокус групи, SWOT анализ и казусен анализ. Методологията е апробирана в три реални стопанства с различен размер и специализация и е доказала своята приложимост за оценка на ефективността в условията на Зелената сделка.</w:t>
      </w:r>
    </w:p>
    <w:p w14:paraId="7F0D8CFB" w14:textId="77777777" w:rsidR="00FE7FBC" w:rsidRDefault="007D1189" w:rsidP="00FE7FBC">
      <w:pPr>
        <w:spacing w:line="360" w:lineRule="auto"/>
        <w:ind w:firstLine="720"/>
        <w:jc w:val="both"/>
        <w:rPr>
          <w:rFonts w:ascii="Times New Roman" w:hAnsi="Times New Roman" w:cs="Times New Roman"/>
          <w:lang w:val="bg-BG"/>
        </w:rPr>
      </w:pPr>
      <w:r w:rsidRPr="007D1189">
        <w:rPr>
          <w:rFonts w:ascii="Times New Roman" w:hAnsi="Times New Roman" w:cs="Times New Roman"/>
          <w:lang w:val="bg-BG"/>
        </w:rPr>
        <w:t xml:space="preserve">Трета глава представя емпиричните резултати от анализа на икономическата и екологичната ефективност. Чрез приложението на ОСО е установено, че ефективността на българските земеделски стопанства се характеризира със значителна хетерогенност, зависеща от икономическия размер и производствената специализация. Стопанствата, специализирани в полски култури, постигат висока икономическа ефективност </w:t>
      </w:r>
      <w:r w:rsidR="00963B9D">
        <w:rPr>
          <w:rFonts w:ascii="Times New Roman" w:hAnsi="Times New Roman" w:cs="Times New Roman"/>
          <w:lang w:val="bg-BG"/>
        </w:rPr>
        <w:t>за сметка на</w:t>
      </w:r>
      <w:r w:rsidRPr="007D1189">
        <w:rPr>
          <w:rFonts w:ascii="Times New Roman" w:hAnsi="Times New Roman" w:cs="Times New Roman"/>
          <w:lang w:val="bg-BG"/>
        </w:rPr>
        <w:t xml:space="preserve"> по-ниска</w:t>
      </w:r>
      <w:r w:rsidR="00963B9D">
        <w:rPr>
          <w:rFonts w:ascii="Times New Roman" w:hAnsi="Times New Roman" w:cs="Times New Roman"/>
          <w:lang w:val="bg-BG"/>
        </w:rPr>
        <w:t>та</w:t>
      </w:r>
      <w:r w:rsidRPr="007D1189">
        <w:rPr>
          <w:rFonts w:ascii="Times New Roman" w:hAnsi="Times New Roman" w:cs="Times New Roman"/>
          <w:lang w:val="bg-BG"/>
        </w:rPr>
        <w:t xml:space="preserve"> екологична ефективност. Обратно, стопанствата със смесена специализация и трайни насаждения показват по-добър баланс между двата показателя. Анализът на динамиката за периода 2007–2023 г. разкрива устойчива тенденция на растеж на ефективността при по-големите стопанства и изоставане на по-малките и средните.</w:t>
      </w:r>
      <w:r w:rsidR="00FE7FBC">
        <w:rPr>
          <w:rFonts w:ascii="Times New Roman" w:hAnsi="Times New Roman" w:cs="Times New Roman"/>
          <w:lang w:val="bg-BG"/>
        </w:rPr>
        <w:t xml:space="preserve"> </w:t>
      </w:r>
    </w:p>
    <w:p w14:paraId="3B70B6B6" w14:textId="77777777" w:rsidR="0007230A" w:rsidRDefault="007D1189" w:rsidP="0007230A">
      <w:pPr>
        <w:spacing w:line="360" w:lineRule="auto"/>
        <w:ind w:firstLine="720"/>
        <w:jc w:val="both"/>
        <w:rPr>
          <w:rFonts w:ascii="Times New Roman" w:hAnsi="Times New Roman" w:cs="Times New Roman"/>
          <w:lang w:val="bg-BG"/>
        </w:rPr>
      </w:pPr>
      <w:r w:rsidRPr="007D1189">
        <w:rPr>
          <w:rFonts w:ascii="Times New Roman" w:hAnsi="Times New Roman" w:cs="Times New Roman"/>
          <w:lang w:val="bg-BG"/>
        </w:rPr>
        <w:t>Резултатите от анкетното проучване и фокус групите показват, че степента на информираност на българските земеделски стопани относно Зелената сделка е все още ниска. Основните пречки пред внедряването на устойчиви практики са свързани с високи първоначални разходи, липса на техника и технологии, недостатъчна информация и липса на финансови стимули. SWOT анализът разкрива, че силните страни на сектора са свързани с опита и търговските отношения, докато слабите страни са предимно финансови и инфраструктурни.</w:t>
      </w:r>
      <w:r w:rsidR="0007230A">
        <w:rPr>
          <w:rFonts w:ascii="Times New Roman" w:hAnsi="Times New Roman" w:cs="Times New Roman"/>
        </w:rPr>
        <w:t xml:space="preserve"> </w:t>
      </w:r>
      <w:r w:rsidRPr="007D1189">
        <w:rPr>
          <w:rFonts w:ascii="Times New Roman" w:hAnsi="Times New Roman" w:cs="Times New Roman"/>
          <w:lang w:val="bg-BG"/>
        </w:rPr>
        <w:t>Казусният анализ в три</w:t>
      </w:r>
      <w:r w:rsidR="0007230A">
        <w:rPr>
          <w:rFonts w:ascii="Times New Roman" w:hAnsi="Times New Roman" w:cs="Times New Roman"/>
          <w:lang w:val="bg-BG"/>
        </w:rPr>
        <w:t>те</w:t>
      </w:r>
      <w:r w:rsidRPr="007D1189">
        <w:rPr>
          <w:rFonts w:ascii="Times New Roman" w:hAnsi="Times New Roman" w:cs="Times New Roman"/>
          <w:lang w:val="bg-BG"/>
        </w:rPr>
        <w:t xml:space="preserve"> стопанства потвърди, че прилагането на устойчиви практики води до едновременно повишаване на икономическата и екологичната </w:t>
      </w:r>
      <w:r w:rsidRPr="007D1189">
        <w:rPr>
          <w:rFonts w:ascii="Times New Roman" w:hAnsi="Times New Roman" w:cs="Times New Roman"/>
          <w:lang w:val="bg-BG"/>
        </w:rPr>
        <w:lastRenderedPageBreak/>
        <w:t>ефективност. Тези резултати имат важно практическо значение, тъй като показват, че преходът към Зелената сделка може да бъде икономически изгоден при правилен избор на практики и адекватна подкрепа.</w:t>
      </w:r>
      <w:r w:rsidR="0007230A">
        <w:rPr>
          <w:rFonts w:ascii="Times New Roman" w:hAnsi="Times New Roman" w:cs="Times New Roman"/>
          <w:lang w:val="bg-BG"/>
        </w:rPr>
        <w:t xml:space="preserve"> </w:t>
      </w:r>
    </w:p>
    <w:p w14:paraId="69CC3A18" w14:textId="77777777" w:rsidR="0007230A" w:rsidRDefault="007D1189" w:rsidP="0007230A">
      <w:pPr>
        <w:spacing w:line="360" w:lineRule="auto"/>
        <w:ind w:firstLine="720"/>
        <w:jc w:val="both"/>
        <w:rPr>
          <w:rFonts w:ascii="Times New Roman" w:hAnsi="Times New Roman" w:cs="Times New Roman"/>
          <w:lang w:val="bg-BG"/>
        </w:rPr>
      </w:pPr>
      <w:r w:rsidRPr="007D1189">
        <w:rPr>
          <w:rFonts w:ascii="Times New Roman" w:hAnsi="Times New Roman" w:cs="Times New Roman"/>
          <w:lang w:val="bg-BG"/>
        </w:rPr>
        <w:t>В четвърта глава са формулирани приложими измерения и конкретни препоръки. Резултатите от стохастичния сценариен модел показват, че целите на стратегията „От фермата до трапезата“ за намаляване на употребата на торове са постижими, но изискват значителни усилия за адаптация. Корелационният анализ установи силна положителна зависимост между броя на стопанствата и употребата на минерални торове, което има важно значение за структурната консолидация на сектора.</w:t>
      </w:r>
      <w:r w:rsidR="0007230A">
        <w:rPr>
          <w:rFonts w:ascii="Times New Roman" w:hAnsi="Times New Roman" w:cs="Times New Roman"/>
          <w:lang w:val="bg-BG"/>
        </w:rPr>
        <w:t xml:space="preserve"> </w:t>
      </w:r>
      <w:r w:rsidRPr="007D1189">
        <w:rPr>
          <w:rFonts w:ascii="Times New Roman" w:hAnsi="Times New Roman" w:cs="Times New Roman"/>
          <w:lang w:val="bg-BG"/>
        </w:rPr>
        <w:t>Формулирани са диференцирани направления за адаптация според производствената специализация (TF1–TF8) и икономическия размер (клас I–VI по СПО). За полските култури се препоръчва разширяване на прецизното земеделие и инхибираните торове; за трайните насаждения — капково напояване и интегрирано управление на вредителите; за животновъдството — подобряване на ефективността на фуражите и намаляване на антибиотиците. По-малките и средните стопанства се нуждаят от по-силна финансова и консултантска подкрепа, докато по-големите могат да се фокусират върху технологична модернизация.</w:t>
      </w:r>
    </w:p>
    <w:p w14:paraId="153C1B92" w14:textId="75F8EDEB" w:rsidR="007D1189" w:rsidRPr="0007230A" w:rsidRDefault="007D1189" w:rsidP="0007230A">
      <w:pPr>
        <w:spacing w:line="360" w:lineRule="auto"/>
        <w:ind w:firstLine="720"/>
        <w:jc w:val="both"/>
        <w:rPr>
          <w:rFonts w:ascii="Times New Roman" w:hAnsi="Times New Roman" w:cs="Times New Roman"/>
        </w:rPr>
      </w:pPr>
      <w:r w:rsidRPr="007D1189">
        <w:rPr>
          <w:rFonts w:ascii="Times New Roman" w:hAnsi="Times New Roman" w:cs="Times New Roman"/>
          <w:lang w:val="bg-BG"/>
        </w:rPr>
        <w:t>Изследването потвърди основната теза, че Зелената сделка открива възможности за повишаване на икономическата и екологична ефективност на българските земеделски стопанства чрез насърчаване на устойчиви практики. Потвърдени са и четирите изследователски хипотези: ефективността се различава съществено според типологията и размера (Х1), устойчивите практики повишават едновременно икономическата и екологичната ефективност (Х2), Зелената сделка ще доведе до редуциране на употребата на химически торове (Х3), а прилагането на апробираните практики води до по-голяма ефективност от очакваното съкращаване на броя на стопанствата (Х4).</w:t>
      </w:r>
    </w:p>
    <w:p w14:paraId="79327D80" w14:textId="3A4C4D41" w:rsidR="003D2EF4" w:rsidRPr="0037603C" w:rsidRDefault="007D1189" w:rsidP="0037603C">
      <w:pPr>
        <w:spacing w:line="360" w:lineRule="auto"/>
        <w:ind w:firstLine="720"/>
        <w:jc w:val="both"/>
        <w:rPr>
          <w:rFonts w:ascii="Times New Roman" w:hAnsi="Times New Roman" w:cs="Times New Roman"/>
        </w:rPr>
      </w:pPr>
      <w:r w:rsidRPr="007D1189">
        <w:rPr>
          <w:rFonts w:ascii="Times New Roman" w:hAnsi="Times New Roman" w:cs="Times New Roman"/>
          <w:lang w:val="bg-BG"/>
        </w:rPr>
        <w:t>Дисертационният труд предлага интегрирана рамка за оценка на ефективността, която може да бъде използвана от изследователи и институции. Формулираните диференцирани препоръки предоставят доказателствена основа за адаптиране на националния Стратегически план за развитие на земеделието и селските райони към изискванията на Зелената сделка. Работата допринася за по-доброто разбиране на предизвикателствата и възможностите пред българското земеделие в условията н</w:t>
      </w:r>
      <w:r w:rsidR="003D2EF4">
        <w:rPr>
          <w:rFonts w:ascii="Times New Roman" w:hAnsi="Times New Roman" w:cs="Times New Roman"/>
          <w:lang w:val="bg-BG"/>
        </w:rPr>
        <w:t>а</w:t>
      </w:r>
      <w:r w:rsidRPr="007D1189">
        <w:rPr>
          <w:rFonts w:ascii="Times New Roman" w:hAnsi="Times New Roman" w:cs="Times New Roman"/>
          <w:lang w:val="bg-BG"/>
        </w:rPr>
        <w:t xml:space="preserve"> </w:t>
      </w:r>
      <w:r w:rsidRPr="007D1189">
        <w:rPr>
          <w:rFonts w:ascii="Times New Roman" w:hAnsi="Times New Roman" w:cs="Times New Roman"/>
          <w:lang w:val="bg-BG"/>
        </w:rPr>
        <w:lastRenderedPageBreak/>
        <w:t>структурна трансформация и създава основа за бъдещи изследвания в областта на устойчивото развитие на аграрния сектор.</w:t>
      </w:r>
    </w:p>
    <w:p w14:paraId="7498C8B8" w14:textId="03FA61B8" w:rsidR="007D1189" w:rsidRPr="0037603C" w:rsidRDefault="007D1189" w:rsidP="0037603C">
      <w:pPr>
        <w:pStyle w:val="Heading2"/>
        <w:rPr>
          <w:rFonts w:ascii="Times New Roman" w:hAnsi="Times New Roman" w:cs="Times New Roman"/>
          <w:b/>
          <w:bCs/>
          <w:color w:val="auto"/>
          <w:sz w:val="24"/>
          <w:szCs w:val="24"/>
          <w:lang w:val="bg-BG"/>
        </w:rPr>
      </w:pPr>
      <w:bookmarkStart w:id="31" w:name="_Toc229092804"/>
      <w:r w:rsidRPr="0037603C">
        <w:rPr>
          <w:rFonts w:ascii="Times New Roman" w:hAnsi="Times New Roman" w:cs="Times New Roman"/>
          <w:b/>
          <w:bCs/>
          <w:color w:val="auto"/>
          <w:sz w:val="24"/>
          <w:szCs w:val="24"/>
          <w:lang w:val="bg-BG"/>
        </w:rPr>
        <w:t>СПРАВКА НА ОСНОВНИТЕ НАУЧНИ И НАУЧНО-ПРИЛОЖНИ ПРИНОСИ В ДИСЕРТАЦИОННИЯ ТРУД</w:t>
      </w:r>
      <w:bookmarkEnd w:id="31"/>
    </w:p>
    <w:p w14:paraId="3154ABB8" w14:textId="27B51B51" w:rsidR="007D1189" w:rsidRPr="007D1189" w:rsidRDefault="007D1189" w:rsidP="007D1189">
      <w:pPr>
        <w:spacing w:line="360" w:lineRule="auto"/>
        <w:jc w:val="both"/>
        <w:rPr>
          <w:rFonts w:ascii="Times New Roman" w:hAnsi="Times New Roman" w:cs="Times New Roman"/>
          <w:b/>
          <w:bCs/>
          <w:lang w:val="bg-BG"/>
        </w:rPr>
      </w:pPr>
      <w:r w:rsidRPr="007D1189">
        <w:rPr>
          <w:rFonts w:ascii="Times New Roman" w:hAnsi="Times New Roman" w:cs="Times New Roman"/>
          <w:b/>
          <w:bCs/>
          <w:lang w:val="bg-BG"/>
        </w:rPr>
        <w:t>Научни приноси</w:t>
      </w:r>
    </w:p>
    <w:p w14:paraId="214226F2" w14:textId="1F3437FD" w:rsidR="007D1189" w:rsidRDefault="007D1189" w:rsidP="007D1189">
      <w:pPr>
        <w:pStyle w:val="ListParagraph"/>
        <w:numPr>
          <w:ilvl w:val="0"/>
          <w:numId w:val="3"/>
        </w:numPr>
        <w:spacing w:line="360" w:lineRule="auto"/>
        <w:jc w:val="both"/>
        <w:rPr>
          <w:rFonts w:ascii="Times New Roman" w:hAnsi="Times New Roman" w:cs="Times New Roman"/>
          <w:lang w:val="bg-BG"/>
        </w:rPr>
      </w:pPr>
      <w:r w:rsidRPr="007D1189">
        <w:rPr>
          <w:rFonts w:ascii="Times New Roman" w:hAnsi="Times New Roman" w:cs="Times New Roman"/>
          <w:lang w:val="bg-BG"/>
        </w:rPr>
        <w:t>Разработена е интегрирана методологична рамка за едновременна оценка на икономическата и екологичната ефективност на земеделските стопанства, обединяваща данни от FADN, казусни проучвания, анкетно проучване и фокус групи. Рамката позволява комплексен анализ на ефективността в условията на Зелената сделка и може да бъде прилагана в бъдещи изследвания в областта на аграрната икономика.</w:t>
      </w:r>
    </w:p>
    <w:p w14:paraId="4CD14974" w14:textId="77777777" w:rsidR="007D1189" w:rsidRDefault="007D1189" w:rsidP="007D1189">
      <w:pPr>
        <w:pStyle w:val="ListParagraph"/>
        <w:numPr>
          <w:ilvl w:val="0"/>
          <w:numId w:val="3"/>
        </w:numPr>
        <w:spacing w:line="360" w:lineRule="auto"/>
        <w:jc w:val="both"/>
        <w:rPr>
          <w:rFonts w:ascii="Times New Roman" w:hAnsi="Times New Roman" w:cs="Times New Roman"/>
          <w:lang w:val="bg-BG"/>
        </w:rPr>
      </w:pPr>
      <w:r w:rsidRPr="007D1189">
        <w:rPr>
          <w:rFonts w:ascii="Times New Roman" w:hAnsi="Times New Roman" w:cs="Times New Roman"/>
          <w:lang w:val="bg-BG"/>
        </w:rPr>
        <w:t>Извършена е систематична диференцирана оценка на икономическата и екологичната ефективност на българските земеделски стопанства за периода 2007–2023 г. по икономически размер (шест класа по СПО) и производствена специализация (осем типа земеделие по FADN типология). Установени са съществени различия в ефективността между отделните групи стопанства и са идентифицирани ключовите фактори, определящи тези различия.</w:t>
      </w:r>
    </w:p>
    <w:p w14:paraId="445E7599" w14:textId="7EE02EC0" w:rsidR="007D1189" w:rsidRPr="007D1189" w:rsidRDefault="007D1189" w:rsidP="007D1189">
      <w:pPr>
        <w:pStyle w:val="ListParagraph"/>
        <w:numPr>
          <w:ilvl w:val="0"/>
          <w:numId w:val="3"/>
        </w:numPr>
        <w:spacing w:line="360" w:lineRule="auto"/>
        <w:jc w:val="both"/>
        <w:rPr>
          <w:rFonts w:ascii="Times New Roman" w:hAnsi="Times New Roman" w:cs="Times New Roman"/>
          <w:lang w:val="bg-BG"/>
        </w:rPr>
      </w:pPr>
      <w:r w:rsidRPr="007D1189">
        <w:rPr>
          <w:rFonts w:ascii="Times New Roman" w:hAnsi="Times New Roman" w:cs="Times New Roman"/>
          <w:lang w:val="bg-BG"/>
        </w:rPr>
        <w:t>Разработен е иконометричен стохастичен сценариен модел за употребата на минерални торове и ветеринарни антибиотици до 2030 г., съобразен с целевите параметри на стратегията „От фермата до трапезата“. Моделът разкрива очакваните ефекти от регулаторните изисквания върху структурата на българското земеделие и е обвързан с корелационен и детерминационен анализ на зависимостта между броя на стопанствата и употребата на минерални торове.</w:t>
      </w:r>
    </w:p>
    <w:p w14:paraId="76D234F0" w14:textId="77777777" w:rsidR="007D1189" w:rsidRPr="007D1189" w:rsidRDefault="007D1189" w:rsidP="007D1189">
      <w:pPr>
        <w:spacing w:line="360" w:lineRule="auto"/>
        <w:jc w:val="both"/>
        <w:rPr>
          <w:rFonts w:ascii="Times New Roman" w:hAnsi="Times New Roman" w:cs="Times New Roman"/>
          <w:b/>
          <w:bCs/>
          <w:lang w:val="bg-BG"/>
        </w:rPr>
      </w:pPr>
      <w:r w:rsidRPr="007D1189">
        <w:rPr>
          <w:rFonts w:ascii="Times New Roman" w:hAnsi="Times New Roman" w:cs="Times New Roman"/>
          <w:b/>
          <w:bCs/>
          <w:lang w:val="bg-BG"/>
        </w:rPr>
        <w:t>Научноприложни приноси:</w:t>
      </w:r>
    </w:p>
    <w:p w14:paraId="61F0A4F7" w14:textId="77777777" w:rsidR="007D1189" w:rsidRDefault="007D1189" w:rsidP="007D1189">
      <w:pPr>
        <w:pStyle w:val="ListParagraph"/>
        <w:numPr>
          <w:ilvl w:val="0"/>
          <w:numId w:val="4"/>
        </w:numPr>
        <w:spacing w:line="360" w:lineRule="auto"/>
        <w:jc w:val="both"/>
        <w:rPr>
          <w:rFonts w:ascii="Times New Roman" w:hAnsi="Times New Roman" w:cs="Times New Roman"/>
          <w:lang w:val="bg-BG"/>
        </w:rPr>
      </w:pPr>
      <w:r w:rsidRPr="007D1189">
        <w:rPr>
          <w:rFonts w:ascii="Times New Roman" w:hAnsi="Times New Roman" w:cs="Times New Roman"/>
          <w:lang w:val="bg-BG"/>
        </w:rPr>
        <w:t>Разработена е методика за оценка и сравнение на устойчиви практики, апробирана в три реални земеделски стопанства с различен размер, специализация и локализация. Методиката позволява измерване на конкретното въздействие на практиките върху икономическата и екологичната ефективност и може да бъде използвана от консултантски организации и земеделски стопани.</w:t>
      </w:r>
    </w:p>
    <w:p w14:paraId="6764046A" w14:textId="77777777" w:rsidR="007D1189" w:rsidRDefault="007D1189" w:rsidP="007D1189">
      <w:pPr>
        <w:pStyle w:val="ListParagraph"/>
        <w:numPr>
          <w:ilvl w:val="0"/>
          <w:numId w:val="4"/>
        </w:numPr>
        <w:spacing w:line="360" w:lineRule="auto"/>
        <w:jc w:val="both"/>
        <w:rPr>
          <w:rFonts w:ascii="Times New Roman" w:hAnsi="Times New Roman" w:cs="Times New Roman"/>
          <w:lang w:val="bg-BG"/>
        </w:rPr>
      </w:pPr>
      <w:r w:rsidRPr="007D1189">
        <w:rPr>
          <w:rFonts w:ascii="Times New Roman" w:hAnsi="Times New Roman" w:cs="Times New Roman"/>
          <w:lang w:val="bg-BG"/>
        </w:rPr>
        <w:lastRenderedPageBreak/>
        <w:t>Доказано е, че приложението на прецизното земеделие, интегрираното управление на вредителите и инхибираните азотни торове в анализираните стопанства генерира измерими икономически ползи и едновременно намалява екологичния натиск върху производствената среда. Тези практики са утвърдени като приложими и икономически целесъобразни инструменти за трансформация към изискванията на Зелената сделка.</w:t>
      </w:r>
    </w:p>
    <w:p w14:paraId="1C84FCEC" w14:textId="77777777" w:rsidR="00ED6A5E" w:rsidRDefault="007D1189" w:rsidP="00ED6A5E">
      <w:pPr>
        <w:pStyle w:val="ListParagraph"/>
        <w:numPr>
          <w:ilvl w:val="0"/>
          <w:numId w:val="4"/>
        </w:numPr>
        <w:spacing w:line="360" w:lineRule="auto"/>
        <w:jc w:val="both"/>
        <w:rPr>
          <w:rFonts w:ascii="Times New Roman" w:hAnsi="Times New Roman" w:cs="Times New Roman"/>
          <w:lang w:val="bg-BG"/>
        </w:rPr>
      </w:pPr>
      <w:r w:rsidRPr="007D1189">
        <w:rPr>
          <w:rFonts w:ascii="Times New Roman" w:hAnsi="Times New Roman" w:cs="Times New Roman"/>
          <w:lang w:val="bg-BG"/>
        </w:rPr>
        <w:t xml:space="preserve">Формулирани са конкретни диференцирани препоръки за политики и добри практики, структурирани по осем типа производствена специализация (TF1–TF8) и по икономически размер на стопанствата (клас I–VI по СПО). </w:t>
      </w:r>
    </w:p>
    <w:p w14:paraId="4454DB8A" w14:textId="1FDEAE90" w:rsidR="00ED6A5E" w:rsidRPr="00ED6A5E" w:rsidRDefault="00ED6A5E" w:rsidP="00ED6A5E">
      <w:pPr>
        <w:spacing w:line="360" w:lineRule="auto"/>
        <w:jc w:val="both"/>
        <w:rPr>
          <w:rFonts w:ascii="Times New Roman" w:hAnsi="Times New Roman" w:cs="Times New Roman"/>
          <w:b/>
          <w:bCs/>
          <w:lang w:val="bg-BG"/>
        </w:rPr>
      </w:pPr>
      <w:r w:rsidRPr="00ED6A5E">
        <w:rPr>
          <w:rFonts w:ascii="Times New Roman" w:hAnsi="Times New Roman" w:cs="Times New Roman"/>
          <w:b/>
          <w:bCs/>
          <w:lang w:val="bg-BG"/>
        </w:rPr>
        <w:t>СПИСЪК НА ПУБЛИКАЦИИТЕ ПО ТЕМАТА НА ДИСЕРТАЦИОННИЯ ТРУД</w:t>
      </w:r>
    </w:p>
    <w:p w14:paraId="26E996E9" w14:textId="77777777" w:rsidR="007A5C75" w:rsidRPr="007A5C75" w:rsidRDefault="007A5C75" w:rsidP="007A5C75">
      <w:pPr>
        <w:spacing w:line="360" w:lineRule="auto"/>
        <w:ind w:firstLine="720"/>
        <w:jc w:val="both"/>
        <w:rPr>
          <w:rFonts w:ascii="Times New Roman" w:hAnsi="Times New Roman" w:cs="Times New Roman"/>
          <w:sz w:val="22"/>
          <w:szCs w:val="22"/>
          <w:lang w:val="bg-BG"/>
        </w:rPr>
      </w:pPr>
      <w:r w:rsidRPr="007A5C75">
        <w:rPr>
          <w:rFonts w:ascii="Times New Roman" w:hAnsi="Times New Roman" w:cs="Times New Roman"/>
          <w:sz w:val="22"/>
          <w:szCs w:val="22"/>
        </w:rPr>
        <w:t xml:space="preserve">Petrov, D., Georgiev, M., Krastev, V., Boyadzhieva, D., Stoychev, V., &amp; Gopov, G. (2026). Functional fragmentation as a structural determinant of agricultural competitiveness: Evidence from the European Union. </w:t>
      </w:r>
      <w:r w:rsidRPr="007A5C75">
        <w:rPr>
          <w:rFonts w:ascii="Times New Roman" w:hAnsi="Times New Roman" w:cs="Times New Roman"/>
          <w:i/>
          <w:iCs/>
          <w:sz w:val="22"/>
          <w:szCs w:val="22"/>
        </w:rPr>
        <w:t>Agriculture</w:t>
      </w:r>
      <w:r w:rsidRPr="007A5C75">
        <w:rPr>
          <w:rFonts w:ascii="Times New Roman" w:hAnsi="Times New Roman" w:cs="Times New Roman"/>
          <w:sz w:val="22"/>
          <w:szCs w:val="22"/>
        </w:rPr>
        <w:t xml:space="preserve">, </w:t>
      </w:r>
      <w:r w:rsidRPr="007A5C75">
        <w:rPr>
          <w:rFonts w:ascii="Times New Roman" w:hAnsi="Times New Roman" w:cs="Times New Roman"/>
          <w:i/>
          <w:iCs/>
          <w:sz w:val="22"/>
          <w:szCs w:val="22"/>
        </w:rPr>
        <w:t>16</w:t>
      </w:r>
      <w:r w:rsidRPr="007A5C75">
        <w:rPr>
          <w:rFonts w:ascii="Times New Roman" w:hAnsi="Times New Roman" w:cs="Times New Roman"/>
          <w:sz w:val="22"/>
          <w:szCs w:val="22"/>
        </w:rPr>
        <w:t xml:space="preserve">(5), Article 493. </w:t>
      </w:r>
      <w:hyperlink r:id="rId13" w:tgtFrame="_blank" w:history="1">
        <w:r w:rsidRPr="007A5C75">
          <w:rPr>
            <w:rStyle w:val="Hyperlink"/>
            <w:rFonts w:ascii="Times New Roman" w:hAnsi="Times New Roman" w:cs="Times New Roman"/>
            <w:sz w:val="22"/>
            <w:szCs w:val="22"/>
          </w:rPr>
          <w:t>https://doi.org/10.3390/agriculture16050493</w:t>
        </w:r>
      </w:hyperlink>
    </w:p>
    <w:p w14:paraId="26B6D9C0" w14:textId="77777777" w:rsidR="007A5C75" w:rsidRPr="007A5C75" w:rsidRDefault="007A5C75" w:rsidP="007A5C75">
      <w:pPr>
        <w:spacing w:line="360" w:lineRule="auto"/>
        <w:ind w:firstLine="720"/>
        <w:jc w:val="both"/>
        <w:rPr>
          <w:rFonts w:ascii="Times New Roman" w:hAnsi="Times New Roman" w:cs="Times New Roman"/>
          <w:sz w:val="22"/>
          <w:szCs w:val="22"/>
          <w:lang w:val="bg-BG"/>
        </w:rPr>
      </w:pPr>
      <w:r w:rsidRPr="007A5C75">
        <w:rPr>
          <w:rFonts w:ascii="Times New Roman" w:hAnsi="Times New Roman" w:cs="Times New Roman"/>
          <w:sz w:val="22"/>
          <w:szCs w:val="22"/>
        </w:rPr>
        <w:t xml:space="preserve">Petrov, D. (2025). Trend scenarios for the impact of smart contracts on transaction costs in agricultural enterprises. </w:t>
      </w:r>
      <w:r w:rsidRPr="007A5C75">
        <w:rPr>
          <w:rFonts w:ascii="Times New Roman" w:hAnsi="Times New Roman" w:cs="Times New Roman"/>
          <w:i/>
          <w:iCs/>
          <w:sz w:val="22"/>
          <w:szCs w:val="22"/>
        </w:rPr>
        <w:t>Икономика и управление на селското стопанство / Bulgarian Journal of Agricultural Economics and Management</w:t>
      </w:r>
      <w:r w:rsidRPr="007A5C75">
        <w:rPr>
          <w:rFonts w:ascii="Times New Roman" w:hAnsi="Times New Roman" w:cs="Times New Roman"/>
          <w:sz w:val="22"/>
          <w:szCs w:val="22"/>
        </w:rPr>
        <w:t xml:space="preserve">, </w:t>
      </w:r>
      <w:r w:rsidRPr="007A5C75">
        <w:rPr>
          <w:rFonts w:ascii="Times New Roman" w:hAnsi="Times New Roman" w:cs="Times New Roman"/>
          <w:i/>
          <w:iCs/>
          <w:sz w:val="22"/>
          <w:szCs w:val="22"/>
        </w:rPr>
        <w:t>70</w:t>
      </w:r>
      <w:r w:rsidRPr="007A5C75">
        <w:rPr>
          <w:rFonts w:ascii="Times New Roman" w:hAnsi="Times New Roman" w:cs="Times New Roman"/>
          <w:sz w:val="22"/>
          <w:szCs w:val="22"/>
        </w:rPr>
        <w:t xml:space="preserve">(2), 15–27. </w:t>
      </w:r>
      <w:hyperlink r:id="rId14" w:tgtFrame="_blank" w:history="1">
        <w:r w:rsidRPr="007A5C75">
          <w:rPr>
            <w:rStyle w:val="Hyperlink"/>
            <w:rFonts w:ascii="Times New Roman" w:hAnsi="Times New Roman" w:cs="Times New Roman"/>
            <w:sz w:val="22"/>
            <w:szCs w:val="22"/>
          </w:rPr>
          <w:t>https://doi.org/10.61308/MXCY8192</w:t>
        </w:r>
      </w:hyperlink>
    </w:p>
    <w:p w14:paraId="3D7C3E67" w14:textId="4FCC5E56" w:rsidR="00ED6A5E" w:rsidRPr="007A5C75" w:rsidRDefault="007A5C75" w:rsidP="007A5C75">
      <w:pPr>
        <w:spacing w:line="360" w:lineRule="auto"/>
        <w:ind w:firstLine="720"/>
        <w:jc w:val="both"/>
        <w:rPr>
          <w:rFonts w:ascii="Times New Roman" w:hAnsi="Times New Roman" w:cs="Times New Roman"/>
          <w:sz w:val="22"/>
          <w:szCs w:val="22"/>
          <w:lang w:val="bg-BG"/>
        </w:rPr>
      </w:pPr>
      <w:r w:rsidRPr="007A5C75">
        <w:rPr>
          <w:rFonts w:ascii="Times New Roman" w:hAnsi="Times New Roman" w:cs="Times New Roman"/>
          <w:sz w:val="22"/>
          <w:szCs w:val="22"/>
        </w:rPr>
        <w:t xml:space="preserve">Petrov, D., &amp; Ivanov, B. (2026). Sustainable farm decision-making in agriculture: Empirical evidence from Bulgarian farms. </w:t>
      </w:r>
      <w:r w:rsidRPr="007A5C75">
        <w:rPr>
          <w:rFonts w:ascii="Times New Roman" w:hAnsi="Times New Roman" w:cs="Times New Roman"/>
          <w:i/>
          <w:iCs/>
          <w:sz w:val="22"/>
          <w:szCs w:val="22"/>
        </w:rPr>
        <w:t>Scientific Atlas</w:t>
      </w:r>
      <w:r w:rsidRPr="007A5C75">
        <w:rPr>
          <w:rFonts w:ascii="Times New Roman" w:hAnsi="Times New Roman" w:cs="Times New Roman"/>
          <w:sz w:val="22"/>
          <w:szCs w:val="22"/>
        </w:rPr>
        <w:t xml:space="preserve">, (14), 20–30. </w:t>
      </w:r>
      <w:hyperlink r:id="rId15" w:tgtFrame="_blank" w:history="1">
        <w:r w:rsidRPr="007A5C75">
          <w:rPr>
            <w:rStyle w:val="Hyperlink"/>
            <w:rFonts w:ascii="Times New Roman" w:hAnsi="Times New Roman" w:cs="Times New Roman"/>
            <w:sz w:val="22"/>
            <w:szCs w:val="22"/>
          </w:rPr>
          <w:t>https://scientificatlas.com/article/sustainable-farm-decision-making-in-agriculture-empirical-evidence-from-bulgarian-farms</w:t>
        </w:r>
      </w:hyperlink>
    </w:p>
    <w:p w14:paraId="69498B5D" w14:textId="4CD8124E" w:rsidR="00ED6A5E" w:rsidRPr="00ED6A5E" w:rsidRDefault="00ED6A5E" w:rsidP="00ED6A5E">
      <w:pPr>
        <w:spacing w:line="360" w:lineRule="auto"/>
        <w:jc w:val="both"/>
        <w:rPr>
          <w:rFonts w:ascii="Times New Roman" w:hAnsi="Times New Roman" w:cs="Times New Roman"/>
          <w:b/>
          <w:bCs/>
          <w:lang w:val="bg-BG"/>
        </w:rPr>
      </w:pPr>
      <w:r w:rsidRPr="00ED6A5E">
        <w:rPr>
          <w:rFonts w:ascii="Times New Roman" w:hAnsi="Times New Roman" w:cs="Times New Roman"/>
          <w:b/>
          <w:bCs/>
        </w:rPr>
        <w:t>ДЕКЛАРАЦИЯ ЗА ОРИГИНАЛНОСТ</w:t>
      </w:r>
    </w:p>
    <w:p w14:paraId="11128CD6" w14:textId="06C0F4C3" w:rsidR="00ED6A5E" w:rsidRPr="00ED6A5E" w:rsidRDefault="00ED6A5E" w:rsidP="00ED6A5E">
      <w:pPr>
        <w:spacing w:line="360" w:lineRule="auto"/>
        <w:ind w:firstLine="720"/>
        <w:jc w:val="both"/>
        <w:rPr>
          <w:rFonts w:ascii="Times New Roman" w:hAnsi="Times New Roman" w:cs="Times New Roman"/>
          <w:lang w:val="bg-BG"/>
        </w:rPr>
      </w:pPr>
      <w:r w:rsidRPr="00ED6A5E">
        <w:rPr>
          <w:rFonts w:ascii="Times New Roman" w:hAnsi="Times New Roman" w:cs="Times New Roman"/>
          <w:lang w:val="bg-BG"/>
        </w:rPr>
        <w:t>Декларирам, че настоящия дисертационен труд е изцяло авторско изследване и в</w:t>
      </w:r>
      <w:r>
        <w:rPr>
          <w:rFonts w:ascii="Times New Roman" w:hAnsi="Times New Roman" w:cs="Times New Roman"/>
          <w:lang w:val="bg-BG"/>
        </w:rPr>
        <w:t xml:space="preserve"> </w:t>
      </w:r>
      <w:r w:rsidRPr="00ED6A5E">
        <w:rPr>
          <w:rFonts w:ascii="Times New Roman" w:hAnsi="Times New Roman" w:cs="Times New Roman"/>
          <w:lang w:val="bg-BG"/>
        </w:rPr>
        <w:t>неговото разработване не са ползвани в нарушение на авторските им права чужди</w:t>
      </w:r>
      <w:r>
        <w:rPr>
          <w:rFonts w:ascii="Times New Roman" w:hAnsi="Times New Roman" w:cs="Times New Roman"/>
          <w:lang w:val="bg-BG"/>
        </w:rPr>
        <w:t xml:space="preserve"> </w:t>
      </w:r>
      <w:r w:rsidRPr="00ED6A5E">
        <w:rPr>
          <w:rFonts w:ascii="Times New Roman" w:hAnsi="Times New Roman" w:cs="Times New Roman"/>
          <w:lang w:val="bg-BG"/>
        </w:rPr>
        <w:t>публикации и разработки.</w:t>
      </w:r>
    </w:p>
    <w:sectPr w:rsidR="00ED6A5E" w:rsidRPr="00ED6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D0F33"/>
    <w:multiLevelType w:val="hybridMultilevel"/>
    <w:tmpl w:val="89FC06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2C230B"/>
    <w:multiLevelType w:val="hybridMultilevel"/>
    <w:tmpl w:val="3B28BB8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F7B44E1"/>
    <w:multiLevelType w:val="hybridMultilevel"/>
    <w:tmpl w:val="41D4C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973E4E"/>
    <w:multiLevelType w:val="hybridMultilevel"/>
    <w:tmpl w:val="CA3E55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813321">
    <w:abstractNumId w:val="2"/>
  </w:num>
  <w:num w:numId="2" w16cid:durableId="1163544408">
    <w:abstractNumId w:val="1"/>
  </w:num>
  <w:num w:numId="3" w16cid:durableId="761729892">
    <w:abstractNumId w:val="0"/>
  </w:num>
  <w:num w:numId="4" w16cid:durableId="3875372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BB0"/>
    <w:rsid w:val="00006481"/>
    <w:rsid w:val="00041853"/>
    <w:rsid w:val="00066ACE"/>
    <w:rsid w:val="0007230A"/>
    <w:rsid w:val="000A6EF6"/>
    <w:rsid w:val="00100B79"/>
    <w:rsid w:val="00131622"/>
    <w:rsid w:val="00131854"/>
    <w:rsid w:val="00155831"/>
    <w:rsid w:val="00225AED"/>
    <w:rsid w:val="00261F14"/>
    <w:rsid w:val="00272BB0"/>
    <w:rsid w:val="002B1E55"/>
    <w:rsid w:val="002B4D66"/>
    <w:rsid w:val="002C150E"/>
    <w:rsid w:val="002E1A46"/>
    <w:rsid w:val="002F43B4"/>
    <w:rsid w:val="002F4BFD"/>
    <w:rsid w:val="003179EE"/>
    <w:rsid w:val="00354760"/>
    <w:rsid w:val="00375ECC"/>
    <w:rsid w:val="0037603C"/>
    <w:rsid w:val="003C796C"/>
    <w:rsid w:val="003D2EF4"/>
    <w:rsid w:val="004A6BCA"/>
    <w:rsid w:val="005024A1"/>
    <w:rsid w:val="00531AEA"/>
    <w:rsid w:val="00561F60"/>
    <w:rsid w:val="00662760"/>
    <w:rsid w:val="006875ED"/>
    <w:rsid w:val="006D6396"/>
    <w:rsid w:val="006E039F"/>
    <w:rsid w:val="006F0FB0"/>
    <w:rsid w:val="00710414"/>
    <w:rsid w:val="007A5C75"/>
    <w:rsid w:val="007D1189"/>
    <w:rsid w:val="007D43B9"/>
    <w:rsid w:val="00827F21"/>
    <w:rsid w:val="00847D23"/>
    <w:rsid w:val="00851152"/>
    <w:rsid w:val="008570A0"/>
    <w:rsid w:val="008B4C94"/>
    <w:rsid w:val="008D7300"/>
    <w:rsid w:val="008E0E4F"/>
    <w:rsid w:val="00963B9D"/>
    <w:rsid w:val="00967C20"/>
    <w:rsid w:val="009C6376"/>
    <w:rsid w:val="009E1DBA"/>
    <w:rsid w:val="00A01624"/>
    <w:rsid w:val="00A0239E"/>
    <w:rsid w:val="00A3328A"/>
    <w:rsid w:val="00A40E69"/>
    <w:rsid w:val="00A67A46"/>
    <w:rsid w:val="00AF3B9F"/>
    <w:rsid w:val="00B52DB6"/>
    <w:rsid w:val="00B6720D"/>
    <w:rsid w:val="00B72E11"/>
    <w:rsid w:val="00B8460E"/>
    <w:rsid w:val="00B90AE9"/>
    <w:rsid w:val="00B9331D"/>
    <w:rsid w:val="00BD5A71"/>
    <w:rsid w:val="00C62EE2"/>
    <w:rsid w:val="00CB784E"/>
    <w:rsid w:val="00CC7951"/>
    <w:rsid w:val="00D24103"/>
    <w:rsid w:val="00D72E88"/>
    <w:rsid w:val="00D86791"/>
    <w:rsid w:val="00D91357"/>
    <w:rsid w:val="00DC4127"/>
    <w:rsid w:val="00DE3FB8"/>
    <w:rsid w:val="00E049D5"/>
    <w:rsid w:val="00E2627D"/>
    <w:rsid w:val="00E5348F"/>
    <w:rsid w:val="00ED6A5E"/>
    <w:rsid w:val="00EF63FF"/>
    <w:rsid w:val="00FA188A"/>
    <w:rsid w:val="00FE7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B153B"/>
  <w15:chartTrackingRefBased/>
  <w15:docId w15:val="{659326BE-0335-494C-BEB9-99EBAFBED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B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72B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2BB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2BB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2BB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2B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B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B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B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B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72B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2B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2B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2B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2B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B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B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BB0"/>
    <w:rPr>
      <w:rFonts w:eastAsiaTheme="majorEastAsia" w:cstheme="majorBidi"/>
      <w:color w:val="272727" w:themeColor="text1" w:themeTint="D8"/>
    </w:rPr>
  </w:style>
  <w:style w:type="paragraph" w:styleId="Title">
    <w:name w:val="Title"/>
    <w:basedOn w:val="Normal"/>
    <w:next w:val="Normal"/>
    <w:link w:val="TitleChar"/>
    <w:uiPriority w:val="10"/>
    <w:qFormat/>
    <w:rsid w:val="00272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B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B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B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BB0"/>
    <w:pPr>
      <w:spacing w:before="160"/>
      <w:jc w:val="center"/>
    </w:pPr>
    <w:rPr>
      <w:i/>
      <w:iCs/>
      <w:color w:val="404040" w:themeColor="text1" w:themeTint="BF"/>
    </w:rPr>
  </w:style>
  <w:style w:type="character" w:customStyle="1" w:styleId="QuoteChar">
    <w:name w:val="Quote Char"/>
    <w:basedOn w:val="DefaultParagraphFont"/>
    <w:link w:val="Quote"/>
    <w:uiPriority w:val="29"/>
    <w:rsid w:val="00272BB0"/>
    <w:rPr>
      <w:i/>
      <w:iCs/>
      <w:color w:val="404040" w:themeColor="text1" w:themeTint="BF"/>
    </w:rPr>
  </w:style>
  <w:style w:type="paragraph" w:styleId="ListParagraph">
    <w:name w:val="List Paragraph"/>
    <w:basedOn w:val="Normal"/>
    <w:uiPriority w:val="34"/>
    <w:qFormat/>
    <w:rsid w:val="00272BB0"/>
    <w:pPr>
      <w:ind w:left="720"/>
      <w:contextualSpacing/>
    </w:pPr>
  </w:style>
  <w:style w:type="character" w:styleId="IntenseEmphasis">
    <w:name w:val="Intense Emphasis"/>
    <w:basedOn w:val="DefaultParagraphFont"/>
    <w:uiPriority w:val="21"/>
    <w:qFormat/>
    <w:rsid w:val="00272BB0"/>
    <w:rPr>
      <w:i/>
      <w:iCs/>
      <w:color w:val="2F5496" w:themeColor="accent1" w:themeShade="BF"/>
    </w:rPr>
  </w:style>
  <w:style w:type="paragraph" w:styleId="IntenseQuote">
    <w:name w:val="Intense Quote"/>
    <w:basedOn w:val="Normal"/>
    <w:next w:val="Normal"/>
    <w:link w:val="IntenseQuoteChar"/>
    <w:uiPriority w:val="30"/>
    <w:qFormat/>
    <w:rsid w:val="00272B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2BB0"/>
    <w:rPr>
      <w:i/>
      <w:iCs/>
      <w:color w:val="2F5496" w:themeColor="accent1" w:themeShade="BF"/>
    </w:rPr>
  </w:style>
  <w:style w:type="character" w:styleId="IntenseReference">
    <w:name w:val="Intense Reference"/>
    <w:basedOn w:val="DefaultParagraphFont"/>
    <w:uiPriority w:val="32"/>
    <w:qFormat/>
    <w:rsid w:val="00272BB0"/>
    <w:rPr>
      <w:b/>
      <w:bCs/>
      <w:smallCaps/>
      <w:color w:val="2F5496" w:themeColor="accent1" w:themeShade="BF"/>
      <w:spacing w:val="5"/>
    </w:rPr>
  </w:style>
  <w:style w:type="paragraph" w:styleId="Caption">
    <w:name w:val="caption"/>
    <w:basedOn w:val="Normal"/>
    <w:next w:val="Normal"/>
    <w:uiPriority w:val="35"/>
    <w:unhideWhenUsed/>
    <w:qFormat/>
    <w:rsid w:val="00B72E11"/>
    <w:pPr>
      <w:spacing w:after="200" w:line="240" w:lineRule="auto"/>
    </w:pPr>
    <w:rPr>
      <w:i/>
      <w:iCs/>
      <w:color w:val="44546A" w:themeColor="text2"/>
      <w:kern w:val="0"/>
      <w:sz w:val="18"/>
      <w:szCs w:val="18"/>
      <w14:ligatures w14:val="none"/>
    </w:rPr>
  </w:style>
  <w:style w:type="paragraph" w:styleId="TOCHeading">
    <w:name w:val="TOC Heading"/>
    <w:basedOn w:val="Heading1"/>
    <w:next w:val="Normal"/>
    <w:uiPriority w:val="39"/>
    <w:unhideWhenUsed/>
    <w:qFormat/>
    <w:rsid w:val="00225AED"/>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354760"/>
    <w:pPr>
      <w:spacing w:after="100"/>
    </w:pPr>
  </w:style>
  <w:style w:type="paragraph" w:styleId="TOC2">
    <w:name w:val="toc 2"/>
    <w:basedOn w:val="Normal"/>
    <w:next w:val="Normal"/>
    <w:autoRedefine/>
    <w:uiPriority w:val="39"/>
    <w:unhideWhenUsed/>
    <w:rsid w:val="00354760"/>
    <w:pPr>
      <w:spacing w:after="100"/>
      <w:ind w:left="240"/>
    </w:pPr>
  </w:style>
  <w:style w:type="character" w:styleId="Hyperlink">
    <w:name w:val="Hyperlink"/>
    <w:basedOn w:val="DefaultParagraphFont"/>
    <w:uiPriority w:val="99"/>
    <w:unhideWhenUsed/>
    <w:rsid w:val="00354760"/>
    <w:rPr>
      <w:color w:val="0563C1" w:themeColor="hyperlink"/>
      <w:u w:val="single"/>
    </w:rPr>
  </w:style>
  <w:style w:type="character" w:styleId="UnresolvedMention">
    <w:name w:val="Unresolved Mention"/>
    <w:basedOn w:val="DefaultParagraphFont"/>
    <w:uiPriority w:val="99"/>
    <w:semiHidden/>
    <w:unhideWhenUsed/>
    <w:rsid w:val="007A5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3390/agriculture16050493" TargetMode="Externa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hyperlink" Target="https://scientificatlas.com/article/sustainable-farm-decision-making-in-agriculture-empirical-evidence-from-bulgarian-farms" TargetMode="Externa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hyperlink" Target="https://www.google.com/search?q=https://doi.org/10.61308/MXCY8192"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oleObject" Target="file:///F:\VAJNO_NE_TRIJ\desktop\&#1076;&#1080;&#1089;&#1077;&#1088;&#1090;&#1072;&#1094;&#1080;&#1103;_2026\RCA%20Efficiency%20Calculations-%20&#1075;&#1086;&#1090;&#1086;&#1074;&#1080;.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oleObject" Target="file:///F:\VAJNO_NE_TRIJ\desktop\&#1076;&#1080;&#1089;&#1077;&#1088;&#1090;&#1072;&#1094;&#1080;&#1103;_2026\RCA%20Efficiency%20Calculations-%20&#1075;&#1086;&#1090;&#1086;&#1074;&#1080;.xlsx" TargetMode="External"/><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danie\Desktop\&#1076;&#1080;&#1089;&#1077;&#1088;&#1090;&#1072;&#1094;&#1080;&#1103;_&#1042;&#1093;&#1086;&#1076;&#1080;&#1088;&#1072;&#1085;&#1077;%20&#1079;&#1072;%20&#1078;&#1091;&#1088;&#1080;+&#1092;&#1072;&#1081;&#1083;&#1086;&#1074;&#1077;\&#1089;&#1094;&#1077;&#1085;&#1072;&#1088;&#1080;&#1080;.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danie\Desktop\&#1076;&#1080;&#1089;&#1077;&#1088;&#1090;&#1072;&#1094;&#1080;&#1103;_&#1042;&#1093;&#1086;&#1076;&#1080;&#1088;&#1072;&#1085;&#1077;%20&#1079;&#1072;%20&#1078;&#1091;&#1088;&#1080;+&#1092;&#1072;&#1081;&#1083;&#1086;&#1074;&#1077;\&#1089;&#1094;&#1077;&#1085;&#1072;&#1088;&#1080;&#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0"/>
          <c:order val="0"/>
          <c:spPr>
            <a:ln w="28556" cap="rnd">
              <a:solidFill>
                <a:schemeClr val="accent1"/>
              </a:solidFill>
              <a:round/>
            </a:ln>
            <a:effectLst/>
          </c:spPr>
          <c:marker>
            <c:symbol val="none"/>
          </c:marker>
          <c:cat>
            <c:numRef>
              <c:f>Sheet2!$E$2:$E$17</c:f>
              <c:numCache>
                <c:formatCode>General</c:formatCode>
                <c:ptCount val="16"/>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numCache>
            </c:numRef>
          </c:cat>
          <c:val>
            <c:numRef>
              <c:f>Sheet2!$N$2:$N$17</c:f>
              <c:numCache>
                <c:formatCode>General</c:formatCode>
                <c:ptCount val="16"/>
                <c:pt idx="0">
                  <c:v>1.0339478223925109</c:v>
                </c:pt>
                <c:pt idx="1">
                  <c:v>0.95394039860763669</c:v>
                </c:pt>
                <c:pt idx="2">
                  <c:v>0.82408611743689253</c:v>
                </c:pt>
                <c:pt idx="3">
                  <c:v>0.92313841795867335</c:v>
                </c:pt>
                <c:pt idx="4">
                  <c:v>0.92993324119934517</c:v>
                </c:pt>
                <c:pt idx="5">
                  <c:v>0.91729037569873451</c:v>
                </c:pt>
                <c:pt idx="6">
                  <c:v>0.82905063180019156</c:v>
                </c:pt>
                <c:pt idx="7">
                  <c:v>0.83629872717119846</c:v>
                </c:pt>
                <c:pt idx="8">
                  <c:v>0.81576683526407312</c:v>
                </c:pt>
                <c:pt idx="9">
                  <c:v>0.80226669722521671</c:v>
                </c:pt>
                <c:pt idx="10">
                  <c:v>0.8514295633794029</c:v>
                </c:pt>
                <c:pt idx="11">
                  <c:v>0.86027995723471606</c:v>
                </c:pt>
                <c:pt idx="12">
                  <c:v>0.8369859552503367</c:v>
                </c:pt>
                <c:pt idx="13">
                  <c:v>0.83126531166804007</c:v>
                </c:pt>
                <c:pt idx="14">
                  <c:v>1.0140318962456907</c:v>
                </c:pt>
                <c:pt idx="15">
                  <c:v>1.000630533569107</c:v>
                </c:pt>
              </c:numCache>
            </c:numRef>
          </c:val>
          <c:smooth val="0"/>
          <c:extLst>
            <c:ext xmlns:c16="http://schemas.microsoft.com/office/drawing/2014/chart" uri="{C3380CC4-5D6E-409C-BE32-E72D297353CC}">
              <c16:uniqueId val="{00000000-D5C4-461F-B03C-DD7C26DF7BBA}"/>
            </c:ext>
          </c:extLst>
        </c:ser>
        <c:dLbls>
          <c:showLegendKey val="0"/>
          <c:showVal val="0"/>
          <c:showCatName val="0"/>
          <c:showSerName val="0"/>
          <c:showPercent val="0"/>
          <c:showBubbleSize val="0"/>
        </c:dLbls>
        <c:smooth val="0"/>
        <c:axId val="745079296"/>
        <c:axId val="1"/>
      </c:lineChart>
      <c:catAx>
        <c:axId val="745079296"/>
        <c:scaling>
          <c:orientation val="minMax"/>
        </c:scaling>
        <c:delete val="0"/>
        <c:axPos val="b"/>
        <c:numFmt formatCode="General" sourceLinked="1"/>
        <c:majorTickMark val="none"/>
        <c:minorTickMark val="none"/>
        <c:tickLblPos val="nextTo"/>
        <c:spPr>
          <a:noFill/>
          <a:ln w="9519" cap="flat" cmpd="sng" algn="ctr">
            <a:solidFill>
              <a:schemeClr val="tx1">
                <a:lumMod val="15000"/>
                <a:lumOff val="85000"/>
              </a:schemeClr>
            </a:solidFill>
            <a:round/>
          </a:ln>
          <a:effectLst/>
        </c:spPr>
        <c:txPr>
          <a:bodyPr rot="-60000000" spcFirstLastPara="1" vertOverflow="ellipsis" vert="horz" wrap="square" anchor="ctr" anchorCtr="1"/>
          <a:lstStyle/>
          <a:p>
            <a:pPr>
              <a:defRPr sz="999"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
        <c:crosses val="autoZero"/>
        <c:auto val="1"/>
        <c:lblAlgn val="ctr"/>
        <c:lblOffset val="100"/>
        <c:noMultiLvlLbl val="0"/>
      </c:catAx>
      <c:valAx>
        <c:axId val="1"/>
        <c:scaling>
          <c:orientation val="minMax"/>
        </c:scaling>
        <c:delete val="0"/>
        <c:axPos val="l"/>
        <c:majorGridlines>
          <c:spPr>
            <a:ln w="9519"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45079296"/>
        <c:crosses val="autoZero"/>
        <c:crossBetween val="between"/>
      </c:valAx>
      <c:spPr>
        <a:noFill/>
        <a:ln w="25383">
          <a:noFill/>
        </a:ln>
      </c:spPr>
    </c:plotArea>
    <c:plotVisOnly val="1"/>
    <c:dispBlanksAs val="zero"/>
    <c:showDLblsOverMax val="0"/>
  </c:chart>
  <c:spPr>
    <a:solidFill>
      <a:schemeClr val="bg1"/>
    </a:solidFill>
    <a:ln w="9519"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cked"/>
        <c:varyColors val="0"/>
        <c:ser>
          <c:idx val="0"/>
          <c:order val="0"/>
          <c:spPr>
            <a:ln w="28559" cap="rnd">
              <a:solidFill>
                <a:schemeClr val="accent1"/>
              </a:solidFill>
              <a:round/>
            </a:ln>
            <a:effectLst/>
          </c:spPr>
          <c:marker>
            <c:symbol val="none"/>
          </c:marker>
          <c:cat>
            <c:numRef>
              <c:f>Sheet4!$M$2:$M$17</c:f>
              <c:numCache>
                <c:formatCode>General</c:formatCode>
                <c:ptCount val="16"/>
                <c:pt idx="0">
                  <c:v>2007</c:v>
                </c:pt>
                <c:pt idx="1">
                  <c:v>2008</c:v>
                </c:pt>
                <c:pt idx="2">
                  <c:v>2009</c:v>
                </c:pt>
                <c:pt idx="3">
                  <c:v>2010</c:v>
                </c:pt>
                <c:pt idx="4">
                  <c:v>2011</c:v>
                </c:pt>
                <c:pt idx="5">
                  <c:v>2012</c:v>
                </c:pt>
                <c:pt idx="6">
                  <c:v>2013</c:v>
                </c:pt>
                <c:pt idx="7">
                  <c:v>2013</c:v>
                </c:pt>
                <c:pt idx="8">
                  <c:v>2014</c:v>
                </c:pt>
                <c:pt idx="9">
                  <c:v>2014</c:v>
                </c:pt>
                <c:pt idx="10">
                  <c:v>2015</c:v>
                </c:pt>
                <c:pt idx="11">
                  <c:v>2015</c:v>
                </c:pt>
                <c:pt idx="12">
                  <c:v>2016</c:v>
                </c:pt>
                <c:pt idx="13">
                  <c:v>2016</c:v>
                </c:pt>
                <c:pt idx="14">
                  <c:v>2017</c:v>
                </c:pt>
                <c:pt idx="15">
                  <c:v>2017</c:v>
                </c:pt>
              </c:numCache>
            </c:numRef>
          </c:cat>
          <c:val>
            <c:numRef>
              <c:f>Sheet4!$N$2:$N$17</c:f>
              <c:numCache>
                <c:formatCode>General</c:formatCode>
                <c:ptCount val="16"/>
                <c:pt idx="0">
                  <c:v>0.14272595214371675</c:v>
                </c:pt>
                <c:pt idx="1">
                  <c:v>0.16208386982542564</c:v>
                </c:pt>
                <c:pt idx="2">
                  <c:v>0.17935453027003928</c:v>
                </c:pt>
                <c:pt idx="3">
                  <c:v>0.23688217097178169</c:v>
                </c:pt>
                <c:pt idx="4">
                  <c:v>0.27092916487302066</c:v>
                </c:pt>
                <c:pt idx="5">
                  <c:v>0.30901025593118653</c:v>
                </c:pt>
                <c:pt idx="6">
                  <c:v>0.30154229966518031</c:v>
                </c:pt>
                <c:pt idx="7">
                  <c:v>0.33374597036213288</c:v>
                </c:pt>
                <c:pt idx="8">
                  <c:v>0.33778939559609555</c:v>
                </c:pt>
                <c:pt idx="9">
                  <c:v>0.34556214799967466</c:v>
                </c:pt>
                <c:pt idx="10">
                  <c:v>0.44483738092000585</c:v>
                </c:pt>
                <c:pt idx="11">
                  <c:v>0.4844749903928548</c:v>
                </c:pt>
                <c:pt idx="12">
                  <c:v>0.49141842933679747</c:v>
                </c:pt>
                <c:pt idx="13">
                  <c:v>0.50663286273863073</c:v>
                </c:pt>
                <c:pt idx="14">
                  <c:v>0.67459243012342818</c:v>
                </c:pt>
                <c:pt idx="15">
                  <c:v>0.85308547418473601</c:v>
                </c:pt>
              </c:numCache>
            </c:numRef>
          </c:val>
          <c:smooth val="0"/>
          <c:extLst>
            <c:ext xmlns:c16="http://schemas.microsoft.com/office/drawing/2014/chart" uri="{C3380CC4-5D6E-409C-BE32-E72D297353CC}">
              <c16:uniqueId val="{00000000-AC87-47F6-A954-76A03DE95E9E}"/>
            </c:ext>
          </c:extLst>
        </c:ser>
        <c:dLbls>
          <c:showLegendKey val="0"/>
          <c:showVal val="0"/>
          <c:showCatName val="0"/>
          <c:showSerName val="0"/>
          <c:showPercent val="0"/>
          <c:showBubbleSize val="0"/>
        </c:dLbls>
        <c:smooth val="0"/>
        <c:axId val="897602384"/>
        <c:axId val="1"/>
      </c:lineChart>
      <c:catAx>
        <c:axId val="897602384"/>
        <c:scaling>
          <c:orientation val="minMax"/>
        </c:scaling>
        <c:delete val="0"/>
        <c:axPos val="b"/>
        <c:numFmt formatCode="General" sourceLinked="1"/>
        <c:majorTickMark val="none"/>
        <c:minorTickMark val="none"/>
        <c:tickLblPos val="nextTo"/>
        <c:spPr>
          <a:noFill/>
          <a:ln w="9520" cap="flat" cmpd="sng" algn="ctr">
            <a:solidFill>
              <a:schemeClr val="tx1">
                <a:lumMod val="15000"/>
                <a:lumOff val="85000"/>
              </a:schemeClr>
            </a:solidFill>
            <a:round/>
          </a:ln>
          <a:effectLst/>
        </c:spPr>
        <c:txPr>
          <a:bodyPr rot="-60000000" spcFirstLastPara="1" vertOverflow="ellipsis" vert="horz" wrap="square" anchor="ctr" anchorCtr="1"/>
          <a:lstStyle/>
          <a:p>
            <a:pPr>
              <a:defRPr sz="999"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
        <c:crosses val="autoZero"/>
        <c:auto val="1"/>
        <c:lblAlgn val="ctr"/>
        <c:lblOffset val="100"/>
        <c:noMultiLvlLbl val="0"/>
      </c:catAx>
      <c:valAx>
        <c:axId val="1"/>
        <c:scaling>
          <c:orientation val="minMax"/>
        </c:scaling>
        <c:delete val="0"/>
        <c:axPos val="l"/>
        <c:majorGridlines>
          <c:spPr>
            <a:ln w="952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97602384"/>
        <c:crosses val="autoZero"/>
        <c:crossBetween val="between"/>
      </c:valAx>
      <c:spPr>
        <a:noFill/>
        <a:ln w="25385">
          <a:noFill/>
        </a:ln>
      </c:spPr>
    </c:plotArea>
    <c:plotVisOnly val="1"/>
    <c:dispBlanksAs val="zero"/>
    <c:showDLblsOverMax val="0"/>
  </c:chart>
  <c:spPr>
    <a:solidFill>
      <a:schemeClr val="bg1"/>
    </a:solidFill>
    <a:ln w="952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'RCA EconEFF'!$B$1</c:f>
              <c:strCache>
                <c:ptCount val="1"/>
                <c:pt idx="0">
                  <c:v>Полски култури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'RCA EconEFF'!$A$40:$A$56</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'RCA EconEFF'!$B$40:$B$55</c:f>
              <c:numCache>
                <c:formatCode>0.00</c:formatCode>
                <c:ptCount val="16"/>
                <c:pt idx="0">
                  <c:v>0.31882981882981887</c:v>
                </c:pt>
                <c:pt idx="1">
                  <c:v>0.26979228988372395</c:v>
                </c:pt>
                <c:pt idx="2">
                  <c:v>9.5506610386954072E-2</c:v>
                </c:pt>
                <c:pt idx="3">
                  <c:v>0.30154750350479897</c:v>
                </c:pt>
                <c:pt idx="4">
                  <c:v>0.28470659058786585</c:v>
                </c:pt>
                <c:pt idx="5">
                  <c:v>0.28580452127659584</c:v>
                </c:pt>
                <c:pt idx="6">
                  <c:v>0.56148237369066312</c:v>
                </c:pt>
                <c:pt idx="7">
                  <c:v>0.16618087670162185</c:v>
                </c:pt>
                <c:pt idx="8">
                  <c:v>0.52945616829252107</c:v>
                </c:pt>
                <c:pt idx="9">
                  <c:v>3.306085376930068E-2</c:v>
                </c:pt>
                <c:pt idx="10">
                  <c:v>0.64047373379390793</c:v>
                </c:pt>
                <c:pt idx="11">
                  <c:v>0.32469609449090431</c:v>
                </c:pt>
                <c:pt idx="12">
                  <c:v>0.67123150238274398</c:v>
                </c:pt>
                <c:pt idx="13">
                  <c:v>0.35858248562582928</c:v>
                </c:pt>
                <c:pt idx="14">
                  <c:v>0.76588220241141669</c:v>
                </c:pt>
                <c:pt idx="15">
                  <c:v>0.54569161447839853</c:v>
                </c:pt>
              </c:numCache>
            </c:numRef>
          </c:val>
          <c:smooth val="0"/>
          <c:extLst>
            <c:ext xmlns:c16="http://schemas.microsoft.com/office/drawing/2014/chart" uri="{C3380CC4-5D6E-409C-BE32-E72D297353CC}">
              <c16:uniqueId val="{00000000-6239-465A-818E-732FC87BCC43}"/>
            </c:ext>
          </c:extLst>
        </c:ser>
        <c:ser>
          <c:idx val="0"/>
          <c:order val="1"/>
          <c:tx>
            <c:strRef>
              <c:f>'RCA EconEFF'!$C$1</c:f>
              <c:strCache>
                <c:ptCount val="1"/>
                <c:pt idx="0">
                  <c:v>Градинарство</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'RCA EconEFF'!$C$40:$C$56</c:f>
              <c:numCache>
                <c:formatCode>0.00</c:formatCode>
                <c:ptCount val="17"/>
                <c:pt idx="0">
                  <c:v>0.41310001825150577</c:v>
                </c:pt>
                <c:pt idx="1">
                  <c:v>0.39101233103097588</c:v>
                </c:pt>
                <c:pt idx="2">
                  <c:v>0.32064490232807064</c:v>
                </c:pt>
                <c:pt idx="3">
                  <c:v>0.24923371647509585</c:v>
                </c:pt>
                <c:pt idx="4">
                  <c:v>0.28392555883593418</c:v>
                </c:pt>
                <c:pt idx="5">
                  <c:v>0.28009715573078009</c:v>
                </c:pt>
                <c:pt idx="6">
                  <c:v>0</c:v>
                </c:pt>
                <c:pt idx="7">
                  <c:v>0.21512284665348769</c:v>
                </c:pt>
                <c:pt idx="8">
                  <c:v>0</c:v>
                </c:pt>
                <c:pt idx="9">
                  <c:v>0.48049560645611977</c:v>
                </c:pt>
                <c:pt idx="10">
                  <c:v>0</c:v>
                </c:pt>
                <c:pt idx="11">
                  <c:v>0.19731555099598186</c:v>
                </c:pt>
                <c:pt idx="12">
                  <c:v>0</c:v>
                </c:pt>
                <c:pt idx="13">
                  <c:v>0.47851361683056071</c:v>
                </c:pt>
                <c:pt idx="14">
                  <c:v>0</c:v>
                </c:pt>
                <c:pt idx="15">
                  <c:v>0.4515998099235734</c:v>
                </c:pt>
                <c:pt idx="16">
                  <c:v>0</c:v>
                </c:pt>
              </c:numCache>
            </c:numRef>
          </c:val>
          <c:smooth val="0"/>
          <c:extLst>
            <c:ext xmlns:c16="http://schemas.microsoft.com/office/drawing/2014/chart" uri="{C3380CC4-5D6E-409C-BE32-E72D297353CC}">
              <c16:uniqueId val="{00000001-6239-465A-818E-732FC87BCC43}"/>
            </c:ext>
          </c:extLst>
        </c:ser>
        <c:ser>
          <c:idx val="2"/>
          <c:order val="2"/>
          <c:tx>
            <c:strRef>
              <c:f>'RCA EconEFF'!$D$1</c:f>
              <c:strCache>
                <c:ptCount val="1"/>
                <c:pt idx="0">
                  <c:v>Винарство </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'RCA EconEFF'!$D$40:$D$56</c:f>
              <c:numCache>
                <c:formatCode>0.00</c:formatCode>
                <c:ptCount val="17"/>
                <c:pt idx="0">
                  <c:v>0.21634261862537307</c:v>
                </c:pt>
                <c:pt idx="1">
                  <c:v>0.26584910129213934</c:v>
                </c:pt>
                <c:pt idx="2">
                  <c:v>6.2394950470264332E-2</c:v>
                </c:pt>
                <c:pt idx="3">
                  <c:v>0.12190457070926297</c:v>
                </c:pt>
                <c:pt idx="4">
                  <c:v>0.24597551844624954</c:v>
                </c:pt>
                <c:pt idx="5">
                  <c:v>4.7675107150913609E-2</c:v>
                </c:pt>
                <c:pt idx="6">
                  <c:v>0</c:v>
                </c:pt>
                <c:pt idx="7">
                  <c:v>0.10240371667115533</c:v>
                </c:pt>
                <c:pt idx="8">
                  <c:v>0.41821090839621744</c:v>
                </c:pt>
                <c:pt idx="9">
                  <c:v>0.35471550330144186</c:v>
                </c:pt>
                <c:pt idx="10">
                  <c:v>0.62960301244892136</c:v>
                </c:pt>
                <c:pt idx="11">
                  <c:v>0.15460917275850272</c:v>
                </c:pt>
                <c:pt idx="12">
                  <c:v>3.0307798829231403E-2</c:v>
                </c:pt>
                <c:pt idx="13">
                  <c:v>0.31146240234375</c:v>
                </c:pt>
                <c:pt idx="14">
                  <c:v>0.49201780705759568</c:v>
                </c:pt>
                <c:pt idx="15">
                  <c:v>0.11505372568298333</c:v>
                </c:pt>
                <c:pt idx="16">
                  <c:v>0.38439154336907833</c:v>
                </c:pt>
              </c:numCache>
            </c:numRef>
          </c:val>
          <c:smooth val="0"/>
          <c:extLst>
            <c:ext xmlns:c16="http://schemas.microsoft.com/office/drawing/2014/chart" uri="{C3380CC4-5D6E-409C-BE32-E72D297353CC}">
              <c16:uniqueId val="{00000002-6239-465A-818E-732FC87BCC43}"/>
            </c:ext>
          </c:extLst>
        </c:ser>
        <c:ser>
          <c:idx val="3"/>
          <c:order val="3"/>
          <c:tx>
            <c:strRef>
              <c:f>'RCA EconEFF'!$E$1</c:f>
              <c:strCache>
                <c:ptCount val="1"/>
                <c:pt idx="0">
                  <c:v>Други трайни насаждения </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'RCA EconEFF'!$E$40:$E$56</c:f>
              <c:numCache>
                <c:formatCode>0.00</c:formatCode>
                <c:ptCount val="17"/>
                <c:pt idx="0">
                  <c:v>0.29616917626217898</c:v>
                </c:pt>
                <c:pt idx="1">
                  <c:v>0.36678653154625696</c:v>
                </c:pt>
                <c:pt idx="2">
                  <c:v>0.21783660757067569</c:v>
                </c:pt>
                <c:pt idx="3">
                  <c:v>0.24587716321683073</c:v>
                </c:pt>
                <c:pt idx="4">
                  <c:v>0.13973466724662897</c:v>
                </c:pt>
                <c:pt idx="5">
                  <c:v>0.19114555964266944</c:v>
                </c:pt>
                <c:pt idx="6">
                  <c:v>0</c:v>
                </c:pt>
                <c:pt idx="7">
                  <c:v>0.22012936103488823</c:v>
                </c:pt>
                <c:pt idx="8">
                  <c:v>0</c:v>
                </c:pt>
                <c:pt idx="9">
                  <c:v>4.7420451034908884E-2</c:v>
                </c:pt>
                <c:pt idx="10">
                  <c:v>0</c:v>
                </c:pt>
                <c:pt idx="11">
                  <c:v>0.57783692233244621</c:v>
                </c:pt>
                <c:pt idx="12">
                  <c:v>0</c:v>
                </c:pt>
                <c:pt idx="13">
                  <c:v>0.56718226797940918</c:v>
                </c:pt>
                <c:pt idx="14">
                  <c:v>7.1507288483695364E-3</c:v>
                </c:pt>
                <c:pt idx="15">
                  <c:v>0.34556967833708063</c:v>
                </c:pt>
                <c:pt idx="16">
                  <c:v>0</c:v>
                </c:pt>
              </c:numCache>
            </c:numRef>
          </c:val>
          <c:smooth val="0"/>
          <c:extLst>
            <c:ext xmlns:c16="http://schemas.microsoft.com/office/drawing/2014/chart" uri="{C3380CC4-5D6E-409C-BE32-E72D297353CC}">
              <c16:uniqueId val="{00000003-6239-465A-818E-732FC87BCC43}"/>
            </c:ext>
          </c:extLst>
        </c:ser>
        <c:ser>
          <c:idx val="4"/>
          <c:order val="4"/>
          <c:tx>
            <c:strRef>
              <c:f>'RCA EconEFF'!$F$1</c:f>
              <c:strCache>
                <c:ptCount val="1"/>
                <c:pt idx="0">
                  <c:v>Млечно животновъдство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'RCA EconEFF'!$F$40:$F$56</c:f>
              <c:numCache>
                <c:formatCode>0.00</c:formatCode>
                <c:ptCount val="17"/>
                <c:pt idx="0">
                  <c:v>0.45094237532690051</c:v>
                </c:pt>
                <c:pt idx="1">
                  <c:v>0.38299876802666866</c:v>
                </c:pt>
                <c:pt idx="2">
                  <c:v>0.28838849701573521</c:v>
                </c:pt>
                <c:pt idx="3">
                  <c:v>0.3010809259613545</c:v>
                </c:pt>
                <c:pt idx="4">
                  <c:v>0.32916995601669119</c:v>
                </c:pt>
                <c:pt idx="5">
                  <c:v>0.26874075291796806</c:v>
                </c:pt>
                <c:pt idx="6">
                  <c:v>0</c:v>
                </c:pt>
                <c:pt idx="7">
                  <c:v>0.46799993142230145</c:v>
                </c:pt>
                <c:pt idx="8">
                  <c:v>0</c:v>
                </c:pt>
                <c:pt idx="9">
                  <c:v>0.1157914201183432</c:v>
                </c:pt>
                <c:pt idx="10">
                  <c:v>0</c:v>
                </c:pt>
                <c:pt idx="11">
                  <c:v>0.58529280807395478</c:v>
                </c:pt>
                <c:pt idx="12">
                  <c:v>0</c:v>
                </c:pt>
                <c:pt idx="13">
                  <c:v>0.73607750386609661</c:v>
                </c:pt>
                <c:pt idx="14">
                  <c:v>0</c:v>
                </c:pt>
                <c:pt idx="15">
                  <c:v>0.65499692601953685</c:v>
                </c:pt>
                <c:pt idx="16">
                  <c:v>0</c:v>
                </c:pt>
              </c:numCache>
            </c:numRef>
          </c:val>
          <c:smooth val="0"/>
          <c:extLst>
            <c:ext xmlns:c16="http://schemas.microsoft.com/office/drawing/2014/chart" uri="{C3380CC4-5D6E-409C-BE32-E72D297353CC}">
              <c16:uniqueId val="{00000004-6239-465A-818E-732FC87BCC43}"/>
            </c:ext>
          </c:extLst>
        </c:ser>
        <c:ser>
          <c:idx val="5"/>
          <c:order val="5"/>
          <c:tx>
            <c:strRef>
              <c:f>'RCA EconEFF'!$G$1</c:f>
              <c:strCache>
                <c:ptCount val="1"/>
                <c:pt idx="0">
                  <c:v>Други пасищни животни </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'RCA EconEFF'!$G$40:$G$56</c:f>
              <c:numCache>
                <c:formatCode>0.00</c:formatCode>
                <c:ptCount val="17"/>
                <c:pt idx="0">
                  <c:v>0.42441860465116277</c:v>
                </c:pt>
                <c:pt idx="1">
                  <c:v>0.35878120080953457</c:v>
                </c:pt>
                <c:pt idx="2">
                  <c:v>0.3456370920461207</c:v>
                </c:pt>
                <c:pt idx="3">
                  <c:v>0.39380014217528181</c:v>
                </c:pt>
                <c:pt idx="4">
                  <c:v>0.39132609316947697</c:v>
                </c:pt>
                <c:pt idx="5">
                  <c:v>0.37317518248175174</c:v>
                </c:pt>
                <c:pt idx="6">
                  <c:v>0</c:v>
                </c:pt>
                <c:pt idx="7">
                  <c:v>0.72772921703552162</c:v>
                </c:pt>
                <c:pt idx="8">
                  <c:v>0</c:v>
                </c:pt>
                <c:pt idx="9">
                  <c:v>0</c:v>
                </c:pt>
                <c:pt idx="10">
                  <c:v>0</c:v>
                </c:pt>
                <c:pt idx="11">
                  <c:v>0.62775144693068397</c:v>
                </c:pt>
                <c:pt idx="12">
                  <c:v>0</c:v>
                </c:pt>
                <c:pt idx="13">
                  <c:v>0.58053853206582051</c:v>
                </c:pt>
                <c:pt idx="14">
                  <c:v>0</c:v>
                </c:pt>
                <c:pt idx="15">
                  <c:v>0.47436090792549579</c:v>
                </c:pt>
                <c:pt idx="16">
                  <c:v>0</c:v>
                </c:pt>
              </c:numCache>
            </c:numRef>
          </c:val>
          <c:smooth val="0"/>
          <c:extLst>
            <c:ext xmlns:c16="http://schemas.microsoft.com/office/drawing/2014/chart" uri="{C3380CC4-5D6E-409C-BE32-E72D297353CC}">
              <c16:uniqueId val="{00000005-6239-465A-818E-732FC87BCC43}"/>
            </c:ext>
          </c:extLst>
        </c:ser>
        <c:ser>
          <c:idx val="6"/>
          <c:order val="6"/>
          <c:tx>
            <c:strRef>
              <c:f>'RCA EconEFF'!$G$1</c:f>
              <c:strCache>
                <c:ptCount val="1"/>
                <c:pt idx="0">
                  <c:v>Други пасищни животни </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val>
            <c:numRef>
              <c:f>'RCA EconEFF'!$G$40:$G$56</c:f>
              <c:numCache>
                <c:formatCode>0.00</c:formatCode>
                <c:ptCount val="17"/>
                <c:pt idx="0">
                  <c:v>0.42441860465116277</c:v>
                </c:pt>
                <c:pt idx="1">
                  <c:v>0.35878120080953457</c:v>
                </c:pt>
                <c:pt idx="2">
                  <c:v>0.3456370920461207</c:v>
                </c:pt>
                <c:pt idx="3">
                  <c:v>0.39380014217528181</c:v>
                </c:pt>
                <c:pt idx="4">
                  <c:v>0.39132609316947697</c:v>
                </c:pt>
                <c:pt idx="5">
                  <c:v>0.37317518248175174</c:v>
                </c:pt>
                <c:pt idx="6">
                  <c:v>0</c:v>
                </c:pt>
                <c:pt idx="7">
                  <c:v>0.72772921703552162</c:v>
                </c:pt>
                <c:pt idx="8">
                  <c:v>0</c:v>
                </c:pt>
                <c:pt idx="9">
                  <c:v>0</c:v>
                </c:pt>
                <c:pt idx="10">
                  <c:v>0</c:v>
                </c:pt>
                <c:pt idx="11">
                  <c:v>0.62775144693068397</c:v>
                </c:pt>
                <c:pt idx="12">
                  <c:v>0</c:v>
                </c:pt>
                <c:pt idx="13">
                  <c:v>0.58053853206582051</c:v>
                </c:pt>
                <c:pt idx="14">
                  <c:v>0</c:v>
                </c:pt>
                <c:pt idx="15">
                  <c:v>0.47436090792549579</c:v>
                </c:pt>
                <c:pt idx="16">
                  <c:v>0</c:v>
                </c:pt>
              </c:numCache>
            </c:numRef>
          </c:val>
          <c:smooth val="0"/>
          <c:extLst>
            <c:ext xmlns:c16="http://schemas.microsoft.com/office/drawing/2014/chart" uri="{C3380CC4-5D6E-409C-BE32-E72D297353CC}">
              <c16:uniqueId val="{00000006-6239-465A-818E-732FC87BCC43}"/>
            </c:ext>
          </c:extLst>
        </c:ser>
        <c:ser>
          <c:idx val="7"/>
          <c:order val="7"/>
          <c:tx>
            <c:strRef>
              <c:f>'RCA EconEFF'!$I$1</c:f>
              <c:strCache>
                <c:ptCount val="1"/>
                <c:pt idx="0">
                  <c:v>Смесено земеделие </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val>
            <c:numRef>
              <c:f>'RCA EconEFF'!$I$40:$I$56</c:f>
              <c:numCache>
                <c:formatCode>0.00</c:formatCode>
                <c:ptCount val="17"/>
                <c:pt idx="0">
                  <c:v>0.35479175996417378</c:v>
                </c:pt>
                <c:pt idx="1">
                  <c:v>0.40325077399380804</c:v>
                </c:pt>
                <c:pt idx="2">
                  <c:v>0.40050773694390718</c:v>
                </c:pt>
                <c:pt idx="3">
                  <c:v>0.32010532255031032</c:v>
                </c:pt>
                <c:pt idx="4">
                  <c:v>0.37090981644054266</c:v>
                </c:pt>
                <c:pt idx="5">
                  <c:v>0.41462155963302749</c:v>
                </c:pt>
                <c:pt idx="6">
                  <c:v>0</c:v>
                </c:pt>
                <c:pt idx="7">
                  <c:v>0.58245956993069137</c:v>
                </c:pt>
                <c:pt idx="8">
                  <c:v>0</c:v>
                </c:pt>
                <c:pt idx="9">
                  <c:v>0.20000359169599891</c:v>
                </c:pt>
                <c:pt idx="10">
                  <c:v>0</c:v>
                </c:pt>
                <c:pt idx="11">
                  <c:v>0.82652842497670087</c:v>
                </c:pt>
                <c:pt idx="12">
                  <c:v>0.4477033315972514</c:v>
                </c:pt>
                <c:pt idx="13">
                  <c:v>0.81729392791780675</c:v>
                </c:pt>
                <c:pt idx="14">
                  <c:v>0.61650563699805383</c:v>
                </c:pt>
                <c:pt idx="15">
                  <c:v>0.838919013033529</c:v>
                </c:pt>
                <c:pt idx="16">
                  <c:v>0.42587149584399986</c:v>
                </c:pt>
              </c:numCache>
            </c:numRef>
          </c:val>
          <c:smooth val="0"/>
          <c:extLst>
            <c:ext xmlns:c16="http://schemas.microsoft.com/office/drawing/2014/chart" uri="{C3380CC4-5D6E-409C-BE32-E72D297353CC}">
              <c16:uniqueId val="{00000007-6239-465A-818E-732FC87BCC43}"/>
            </c:ext>
          </c:extLst>
        </c:ser>
        <c:dLbls>
          <c:showLegendKey val="0"/>
          <c:showVal val="0"/>
          <c:showCatName val="0"/>
          <c:showSerName val="0"/>
          <c:showPercent val="0"/>
          <c:showBubbleSize val="0"/>
        </c:dLbls>
        <c:marker val="1"/>
        <c:smooth val="0"/>
        <c:axId val="1015282751"/>
        <c:axId val="1015287327"/>
      </c:lineChart>
      <c:catAx>
        <c:axId val="1015282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15287327"/>
        <c:crosses val="autoZero"/>
        <c:auto val="1"/>
        <c:lblAlgn val="ctr"/>
        <c:lblOffset val="100"/>
        <c:noMultiLvlLbl val="0"/>
      </c:catAx>
      <c:valAx>
        <c:axId val="10152873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15282751"/>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'RCA EcoEFF'!$B$1</c:f>
              <c:strCache>
                <c:ptCount val="1"/>
                <c:pt idx="0">
                  <c:v>Полски култури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'RCA EcoEFF'!$A$40:$A$56</c:f>
              <c:numCache>
                <c:formatCode>General</c:formatCode>
                <c:ptCount val="17"/>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numCache>
            </c:numRef>
          </c:cat>
          <c:val>
            <c:numRef>
              <c:f>'RCA EcoEFF'!$B$40:$B$56</c:f>
              <c:numCache>
                <c:formatCode>0.00</c:formatCode>
                <c:ptCount val="17"/>
                <c:pt idx="0">
                  <c:v>0.80258747547416609</c:v>
                </c:pt>
                <c:pt idx="1">
                  <c:v>0.8223679816182855</c:v>
                </c:pt>
                <c:pt idx="2">
                  <c:v>0.78697750435573643</c:v>
                </c:pt>
                <c:pt idx="3">
                  <c:v>0.82846334967383339</c:v>
                </c:pt>
                <c:pt idx="4">
                  <c:v>0.81014325703935453</c:v>
                </c:pt>
                <c:pt idx="5">
                  <c:v>0.7954196341293116</c:v>
                </c:pt>
                <c:pt idx="6">
                  <c:v>0.60794952913478517</c:v>
                </c:pt>
                <c:pt idx="7">
                  <c:v>0.78335758155702884</c:v>
                </c:pt>
                <c:pt idx="8">
                  <c:v>0.61907448215072725</c:v>
                </c:pt>
                <c:pt idx="9">
                  <c:v>0.80934623332707123</c:v>
                </c:pt>
                <c:pt idx="10">
                  <c:v>0.5512839709515609</c:v>
                </c:pt>
                <c:pt idx="11">
                  <c:v>0.77333920603611706</c:v>
                </c:pt>
                <c:pt idx="12">
                  <c:v>0.50390982606042112</c:v>
                </c:pt>
                <c:pt idx="13">
                  <c:v>0.73547572996286836</c:v>
                </c:pt>
                <c:pt idx="14">
                  <c:v>0.4992850742569539</c:v>
                </c:pt>
                <c:pt idx="15">
                  <c:v>0.66963773696197137</c:v>
                </c:pt>
                <c:pt idx="16">
                  <c:v>0.32234571419524394</c:v>
                </c:pt>
              </c:numCache>
            </c:numRef>
          </c:val>
          <c:smooth val="0"/>
          <c:extLst>
            <c:ext xmlns:c16="http://schemas.microsoft.com/office/drawing/2014/chart" uri="{C3380CC4-5D6E-409C-BE32-E72D297353CC}">
              <c16:uniqueId val="{00000000-57EE-4ABD-A78B-B3CDB1236964}"/>
            </c:ext>
          </c:extLst>
        </c:ser>
        <c:ser>
          <c:idx val="1"/>
          <c:order val="1"/>
          <c:tx>
            <c:strRef>
              <c:f>'RCA EcoEFF'!$C$1</c:f>
              <c:strCache>
                <c:ptCount val="1"/>
                <c:pt idx="0">
                  <c:v>Градинарство</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'RCA EcoEFF'!$C$40:$C$56</c:f>
              <c:numCache>
                <c:formatCode>0.00</c:formatCode>
                <c:ptCount val="17"/>
                <c:pt idx="0">
                  <c:v>0.90390670553935859</c:v>
                </c:pt>
                <c:pt idx="1">
                  <c:v>0.90856904289740115</c:v>
                </c:pt>
                <c:pt idx="2">
                  <c:v>0.90113244707040863</c:v>
                </c:pt>
                <c:pt idx="3">
                  <c:v>0.88599132431742789</c:v>
                </c:pt>
                <c:pt idx="4">
                  <c:v>0.88702374378796245</c:v>
                </c:pt>
                <c:pt idx="5">
                  <c:v>0.92870764265806072</c:v>
                </c:pt>
                <c:pt idx="6">
                  <c:v>0.98429762496937478</c:v>
                </c:pt>
                <c:pt idx="7">
                  <c:v>0.91247638751461724</c:v>
                </c:pt>
                <c:pt idx="8">
                  <c:v>0.96779628999962219</c:v>
                </c:pt>
                <c:pt idx="9">
                  <c:v>0.82043524416135882</c:v>
                </c:pt>
                <c:pt idx="10">
                  <c:v>0.97395183237502814</c:v>
                </c:pt>
                <c:pt idx="11">
                  <c:v>0.91407498136116727</c:v>
                </c:pt>
                <c:pt idx="12">
                  <c:v>0.97726763641793879</c:v>
                </c:pt>
                <c:pt idx="13">
                  <c:v>0.86577690149389552</c:v>
                </c:pt>
                <c:pt idx="14">
                  <c:v>0.97713928710583242</c:v>
                </c:pt>
                <c:pt idx="15">
                  <c:v>0.89593826157595446</c:v>
                </c:pt>
                <c:pt idx="16">
                  <c:v>0.97135398516059135</c:v>
                </c:pt>
              </c:numCache>
            </c:numRef>
          </c:val>
          <c:smooth val="0"/>
          <c:extLst>
            <c:ext xmlns:c16="http://schemas.microsoft.com/office/drawing/2014/chart" uri="{C3380CC4-5D6E-409C-BE32-E72D297353CC}">
              <c16:uniqueId val="{00000001-57EE-4ABD-A78B-B3CDB1236964}"/>
            </c:ext>
          </c:extLst>
        </c:ser>
        <c:ser>
          <c:idx val="2"/>
          <c:order val="2"/>
          <c:tx>
            <c:strRef>
              <c:f>'RCA EcoEFF'!$D$1</c:f>
              <c:strCache>
                <c:ptCount val="1"/>
                <c:pt idx="0">
                  <c:v>Винарство </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val>
            <c:numRef>
              <c:f>'RCA EcoEFF'!$D$40:$D$56</c:f>
              <c:numCache>
                <c:formatCode>0.00</c:formatCode>
                <c:ptCount val="17"/>
                <c:pt idx="0">
                  <c:v>0.8673027963488088</c:v>
                </c:pt>
                <c:pt idx="1">
                  <c:v>0.87668028820303256</c:v>
                </c:pt>
                <c:pt idx="2">
                  <c:v>0.95638534227112793</c:v>
                </c:pt>
                <c:pt idx="3">
                  <c:v>0.9515900306791113</c:v>
                </c:pt>
                <c:pt idx="4">
                  <c:v>0.93894223716726288</c:v>
                </c:pt>
                <c:pt idx="5">
                  <c:v>0.89307366036730251</c:v>
                </c:pt>
                <c:pt idx="6">
                  <c:v>0.90887611524491307</c:v>
                </c:pt>
                <c:pt idx="7">
                  <c:v>0.84753696244120891</c:v>
                </c:pt>
                <c:pt idx="8">
                  <c:v>0.85183035164564536</c:v>
                </c:pt>
                <c:pt idx="9">
                  <c:v>0.84059985512637292</c:v>
                </c:pt>
                <c:pt idx="10">
                  <c:v>0.80071516764748329</c:v>
                </c:pt>
                <c:pt idx="11">
                  <c:v>0.8810971646469169</c:v>
                </c:pt>
                <c:pt idx="12">
                  <c:v>0.8850572847359709</c:v>
                </c:pt>
                <c:pt idx="13">
                  <c:v>0.84492509529297044</c:v>
                </c:pt>
                <c:pt idx="14">
                  <c:v>0.82983162929553955</c:v>
                </c:pt>
                <c:pt idx="15">
                  <c:v>0.91384866547059274</c:v>
                </c:pt>
                <c:pt idx="16">
                  <c:v>0.83991841572151094</c:v>
                </c:pt>
              </c:numCache>
            </c:numRef>
          </c:val>
          <c:smooth val="0"/>
          <c:extLst>
            <c:ext xmlns:c16="http://schemas.microsoft.com/office/drawing/2014/chart" uri="{C3380CC4-5D6E-409C-BE32-E72D297353CC}">
              <c16:uniqueId val="{00000002-57EE-4ABD-A78B-B3CDB1236964}"/>
            </c:ext>
          </c:extLst>
        </c:ser>
        <c:ser>
          <c:idx val="3"/>
          <c:order val="3"/>
          <c:tx>
            <c:strRef>
              <c:f>'RCA EcoEFF'!$E$1</c:f>
              <c:strCache>
                <c:ptCount val="1"/>
                <c:pt idx="0">
                  <c:v>Други трайни насаждения </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val>
            <c:numRef>
              <c:f>'RCA EcoEFF'!$E$40:$E$56</c:f>
              <c:numCache>
                <c:formatCode>0.00</c:formatCode>
                <c:ptCount val="17"/>
                <c:pt idx="0">
                  <c:v>0.85236746893188609</c:v>
                </c:pt>
                <c:pt idx="1">
                  <c:v>0.86551368094992254</c:v>
                </c:pt>
                <c:pt idx="2">
                  <c:v>0.86469101768895018</c:v>
                </c:pt>
                <c:pt idx="3">
                  <c:v>0.8844492440604752</c:v>
                </c:pt>
                <c:pt idx="4">
                  <c:v>0.88541271647073694</c:v>
                </c:pt>
                <c:pt idx="5">
                  <c:v>0.86162091927886952</c:v>
                </c:pt>
                <c:pt idx="6">
                  <c:v>0.9274654702208146</c:v>
                </c:pt>
                <c:pt idx="7">
                  <c:v>0.85878006484204183</c:v>
                </c:pt>
                <c:pt idx="8">
                  <c:v>0.95113088616981833</c:v>
                </c:pt>
                <c:pt idx="9">
                  <c:v>0.86808821144802983</c:v>
                </c:pt>
                <c:pt idx="10">
                  <c:v>0.91129215611974235</c:v>
                </c:pt>
                <c:pt idx="11">
                  <c:v>0.75077372764786798</c:v>
                </c:pt>
                <c:pt idx="12">
                  <c:v>0.90512247756786435</c:v>
                </c:pt>
                <c:pt idx="13">
                  <c:v>0.7704165584134407</c:v>
                </c:pt>
                <c:pt idx="14">
                  <c:v>0.89764256253074504</c:v>
                </c:pt>
                <c:pt idx="15">
                  <c:v>0.82225494320572157</c:v>
                </c:pt>
                <c:pt idx="16">
                  <c:v>0.88181721910409827</c:v>
                </c:pt>
              </c:numCache>
            </c:numRef>
          </c:val>
          <c:smooth val="0"/>
          <c:extLst>
            <c:ext xmlns:c16="http://schemas.microsoft.com/office/drawing/2014/chart" uri="{C3380CC4-5D6E-409C-BE32-E72D297353CC}">
              <c16:uniqueId val="{00000003-57EE-4ABD-A78B-B3CDB1236964}"/>
            </c:ext>
          </c:extLst>
        </c:ser>
        <c:ser>
          <c:idx val="4"/>
          <c:order val="4"/>
          <c:tx>
            <c:strRef>
              <c:f>'RCA EcoEFF'!$F$1</c:f>
              <c:strCache>
                <c:ptCount val="1"/>
                <c:pt idx="0">
                  <c:v>Млечно животновъдство </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val>
            <c:numRef>
              <c:f>'RCA EcoEFF'!$F$40:$F$56</c:f>
              <c:numCache>
                <c:formatCode>0.00</c:formatCode>
                <c:ptCount val="17"/>
                <c:pt idx="0">
                  <c:v>0.97548657304754871</c:v>
                </c:pt>
                <c:pt idx="1">
                  <c:v>0.96996124031007747</c:v>
                </c:pt>
                <c:pt idx="2">
                  <c:v>0.974837971788029</c:v>
                </c:pt>
                <c:pt idx="3">
                  <c:v>0.97885444467255178</c:v>
                </c:pt>
                <c:pt idx="4">
                  <c:v>0.97635859286344728</c:v>
                </c:pt>
                <c:pt idx="5">
                  <c:v>0.97572078907435511</c:v>
                </c:pt>
                <c:pt idx="6">
                  <c:v>0.99414661240533642</c:v>
                </c:pt>
                <c:pt idx="7">
                  <c:v>0.96379368685647993</c:v>
                </c:pt>
                <c:pt idx="8">
                  <c:v>0.99241491011953642</c:v>
                </c:pt>
                <c:pt idx="9">
                  <c:v>0.97820904261993391</c:v>
                </c:pt>
                <c:pt idx="10">
                  <c:v>0.99237097196751378</c:v>
                </c:pt>
                <c:pt idx="11">
                  <c:v>0.95574983703362859</c:v>
                </c:pt>
                <c:pt idx="12">
                  <c:v>0.98729797253974216</c:v>
                </c:pt>
                <c:pt idx="13">
                  <c:v>0.94235342777375664</c:v>
                </c:pt>
                <c:pt idx="14">
                  <c:v>0.98765016161126962</c:v>
                </c:pt>
                <c:pt idx="15">
                  <c:v>0.95147015147015146</c:v>
                </c:pt>
                <c:pt idx="16">
                  <c:v>0.98832471875950134</c:v>
                </c:pt>
              </c:numCache>
            </c:numRef>
          </c:val>
          <c:smooth val="0"/>
          <c:extLst>
            <c:ext xmlns:c16="http://schemas.microsoft.com/office/drawing/2014/chart" uri="{C3380CC4-5D6E-409C-BE32-E72D297353CC}">
              <c16:uniqueId val="{00000004-57EE-4ABD-A78B-B3CDB1236964}"/>
            </c:ext>
          </c:extLst>
        </c:ser>
        <c:ser>
          <c:idx val="5"/>
          <c:order val="5"/>
          <c:tx>
            <c:strRef>
              <c:f>'RCA EcoEFF'!$G$1</c:f>
              <c:strCache>
                <c:ptCount val="1"/>
                <c:pt idx="0">
                  <c:v>Други пасищни животни </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val>
            <c:numRef>
              <c:f>'RCA EcoEFF'!$G$40:$G$56</c:f>
              <c:numCache>
                <c:formatCode>0.00</c:formatCode>
                <c:ptCount val="17"/>
                <c:pt idx="0">
                  <c:v>0.98131574815512634</c:v>
                </c:pt>
                <c:pt idx="1">
                  <c:v>0.98093108890057867</c:v>
                </c:pt>
                <c:pt idx="2">
                  <c:v>0.99070444618658304</c:v>
                </c:pt>
                <c:pt idx="3">
                  <c:v>0.99019977384093483</c:v>
                </c:pt>
                <c:pt idx="4">
                  <c:v>0.98955276440896822</c:v>
                </c:pt>
                <c:pt idx="5">
                  <c:v>0.98852152214597633</c:v>
                </c:pt>
                <c:pt idx="6">
                  <c:v>0.99768506610422347</c:v>
                </c:pt>
                <c:pt idx="7">
                  <c:v>0.64997438524590168</c:v>
                </c:pt>
                <c:pt idx="8">
                  <c:v>0.99600883578492894</c:v>
                </c:pt>
                <c:pt idx="9">
                  <c:v>0.99199352284994602</c:v>
                </c:pt>
                <c:pt idx="10">
                  <c:v>0.99523942873144777</c:v>
                </c:pt>
                <c:pt idx="11">
                  <c:v>0.97530070700578464</c:v>
                </c:pt>
                <c:pt idx="12">
                  <c:v>0.99444585869338831</c:v>
                </c:pt>
                <c:pt idx="13">
                  <c:v>0.9814495254529767</c:v>
                </c:pt>
                <c:pt idx="14">
                  <c:v>0.99603444120675677</c:v>
                </c:pt>
                <c:pt idx="15">
                  <c:v>0.98832580159242522</c:v>
                </c:pt>
                <c:pt idx="16">
                  <c:v>0.99682073020648165</c:v>
                </c:pt>
              </c:numCache>
            </c:numRef>
          </c:val>
          <c:smooth val="0"/>
          <c:extLst>
            <c:ext xmlns:c16="http://schemas.microsoft.com/office/drawing/2014/chart" uri="{C3380CC4-5D6E-409C-BE32-E72D297353CC}">
              <c16:uniqueId val="{00000005-57EE-4ABD-A78B-B3CDB1236964}"/>
            </c:ext>
          </c:extLst>
        </c:ser>
        <c:ser>
          <c:idx val="6"/>
          <c:order val="6"/>
          <c:tx>
            <c:strRef>
              <c:f>'RCA EcoEFF'!$H$1</c:f>
              <c:strCache>
                <c:ptCount val="1"/>
                <c:pt idx="0">
                  <c:v>Интензивно животновъдство </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val>
            <c:numRef>
              <c:f>'RCA EcoEFF'!$H$40:$H$56</c:f>
              <c:numCache>
                <c:formatCode>0.00</c:formatCode>
                <c:ptCount val="17"/>
                <c:pt idx="0">
                  <c:v>0.99463395172551361</c:v>
                </c:pt>
                <c:pt idx="1">
                  <c:v>0.99527318475916604</c:v>
                </c:pt>
                <c:pt idx="2">
                  <c:v>0.99479904219985071</c:v>
                </c:pt>
                <c:pt idx="3">
                  <c:v>0.98842126938368202</c:v>
                </c:pt>
                <c:pt idx="4">
                  <c:v>0.98373014733335251</c:v>
                </c:pt>
                <c:pt idx="5">
                  <c:v>0.98930962134079325</c:v>
                </c:pt>
                <c:pt idx="6">
                  <c:v>0.99121695531810472</c:v>
                </c:pt>
                <c:pt idx="7">
                  <c:v>0.99382938326568027</c:v>
                </c:pt>
                <c:pt idx="8">
                  <c:v>0.99196061083971232</c:v>
                </c:pt>
                <c:pt idx="9">
                  <c:v>0.98065292066486121</c:v>
                </c:pt>
                <c:pt idx="10">
                  <c:v>0.98845459801327984</c:v>
                </c:pt>
                <c:pt idx="11">
                  <c:v>0.98742013768510728</c:v>
                </c:pt>
                <c:pt idx="12">
                  <c:v>0.99048817097644049</c:v>
                </c:pt>
                <c:pt idx="13">
                  <c:v>0.98848173474386536</c:v>
                </c:pt>
                <c:pt idx="14">
                  <c:v>0.99161960398397886</c:v>
                </c:pt>
                <c:pt idx="15">
                  <c:v>0.99252522097955442</c:v>
                </c:pt>
                <c:pt idx="16">
                  <c:v>0.98994224853671153</c:v>
                </c:pt>
              </c:numCache>
            </c:numRef>
          </c:val>
          <c:smooth val="0"/>
          <c:extLst>
            <c:ext xmlns:c16="http://schemas.microsoft.com/office/drawing/2014/chart" uri="{C3380CC4-5D6E-409C-BE32-E72D297353CC}">
              <c16:uniqueId val="{00000006-57EE-4ABD-A78B-B3CDB1236964}"/>
            </c:ext>
          </c:extLst>
        </c:ser>
        <c:ser>
          <c:idx val="7"/>
          <c:order val="7"/>
          <c:tx>
            <c:strRef>
              <c:f>'RCA EcoEFF'!$I$1</c:f>
              <c:strCache>
                <c:ptCount val="1"/>
                <c:pt idx="0">
                  <c:v>Смесено земеделие </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val>
            <c:numRef>
              <c:f>'RCA EcoEFF'!$I$40:$I$56</c:f>
              <c:numCache>
                <c:formatCode>0.00</c:formatCode>
                <c:ptCount val="17"/>
                <c:pt idx="0">
                  <c:v>0.92434495922262716</c:v>
                </c:pt>
                <c:pt idx="1">
                  <c:v>0.91284046692607002</c:v>
                </c:pt>
                <c:pt idx="2">
                  <c:v>0.914821536600121</c:v>
                </c:pt>
                <c:pt idx="3">
                  <c:v>0.93817427385892116</c:v>
                </c:pt>
                <c:pt idx="4">
                  <c:v>0.92245480494766885</c:v>
                </c:pt>
                <c:pt idx="5">
                  <c:v>0.91791556469781566</c:v>
                </c:pt>
                <c:pt idx="6">
                  <c:v>0.98157481422443094</c:v>
                </c:pt>
                <c:pt idx="7">
                  <c:v>0.81719514790380932</c:v>
                </c:pt>
                <c:pt idx="8">
                  <c:v>0.9765977443609023</c:v>
                </c:pt>
                <c:pt idx="9">
                  <c:v>0.92645969425550545</c:v>
                </c:pt>
                <c:pt idx="10">
                  <c:v>0.9596197860712784</c:v>
                </c:pt>
                <c:pt idx="11">
                  <c:v>0.54242888226287378</c:v>
                </c:pt>
                <c:pt idx="12">
                  <c:v>0.86831238164769231</c:v>
                </c:pt>
                <c:pt idx="13">
                  <c:v>0.61224337994644451</c:v>
                </c:pt>
                <c:pt idx="14">
                  <c:v>0.84243952975091219</c:v>
                </c:pt>
                <c:pt idx="15">
                  <c:v>0.42432945754389217</c:v>
                </c:pt>
                <c:pt idx="16">
                  <c:v>0.83319112627986347</c:v>
                </c:pt>
              </c:numCache>
            </c:numRef>
          </c:val>
          <c:smooth val="0"/>
          <c:extLst>
            <c:ext xmlns:c16="http://schemas.microsoft.com/office/drawing/2014/chart" uri="{C3380CC4-5D6E-409C-BE32-E72D297353CC}">
              <c16:uniqueId val="{00000007-57EE-4ABD-A78B-B3CDB1236964}"/>
            </c:ext>
          </c:extLst>
        </c:ser>
        <c:dLbls>
          <c:showLegendKey val="0"/>
          <c:showVal val="0"/>
          <c:showCatName val="0"/>
          <c:showSerName val="0"/>
          <c:showPercent val="0"/>
          <c:showBubbleSize val="0"/>
        </c:dLbls>
        <c:marker val="1"/>
        <c:smooth val="0"/>
        <c:axId val="833101296"/>
        <c:axId val="833101776"/>
      </c:lineChart>
      <c:catAx>
        <c:axId val="833101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3101776"/>
        <c:crosses val="autoZero"/>
        <c:auto val="1"/>
        <c:lblAlgn val="ctr"/>
        <c:lblOffset val="100"/>
        <c:noMultiLvlLbl val="0"/>
      </c:catAx>
      <c:valAx>
        <c:axId val="83310177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310129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CompScModel!$A$6</c:f>
              <c:strCache>
                <c:ptCount val="1"/>
                <c:pt idx="0">
                  <c:v>Базов сценарий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CompScModel!$I$1:$AF$1</c:f>
              <c:numCache>
                <c:formatCode>General</c:formatCode>
                <c:ptCount val="2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numCache>
            </c:numRef>
          </c:cat>
          <c:val>
            <c:numRef>
              <c:f>CompScModel!$I$6:$AF$6</c:f>
              <c:numCache>
                <c:formatCode>General</c:formatCode>
                <c:ptCount val="24"/>
                <c:pt idx="0">
                  <c:v>177936</c:v>
                </c:pt>
                <c:pt idx="1">
                  <c:v>173917</c:v>
                </c:pt>
                <c:pt idx="2">
                  <c:v>177553</c:v>
                </c:pt>
                <c:pt idx="3">
                  <c:v>199083</c:v>
                </c:pt>
                <c:pt idx="4">
                  <c:v>192357</c:v>
                </c:pt>
                <c:pt idx="5">
                  <c:v>235386</c:v>
                </c:pt>
                <c:pt idx="6">
                  <c:v>258856</c:v>
                </c:pt>
                <c:pt idx="7">
                  <c:v>322004</c:v>
                </c:pt>
                <c:pt idx="8">
                  <c:v>341608</c:v>
                </c:pt>
                <c:pt idx="9">
                  <c:v>365913</c:v>
                </c:pt>
                <c:pt idx="10">
                  <c:v>351120</c:v>
                </c:pt>
                <c:pt idx="11">
                  <c:v>339329</c:v>
                </c:pt>
                <c:pt idx="12">
                  <c:v>352486</c:v>
                </c:pt>
                <c:pt idx="13">
                  <c:v>364335</c:v>
                </c:pt>
                <c:pt idx="14">
                  <c:v>342890</c:v>
                </c:pt>
                <c:pt idx="15">
                  <c:v>354479.12857142859</c:v>
                </c:pt>
                <c:pt idx="16">
                  <c:v>358353.45416985149</c:v>
                </c:pt>
                <c:pt idx="17">
                  <c:v>361326.32876173919</c:v>
                </c:pt>
                <c:pt idx="18">
                  <c:v>363832.57797619049</c:v>
                </c:pt>
                <c:pt idx="19">
                  <c:v>366040.62785981921</c:v>
                </c:pt>
                <c:pt idx="20">
                  <c:v>368036.85754327237</c:v>
                </c:pt>
                <c:pt idx="21">
                  <c:v>369872.58019229176</c:v>
                </c:pt>
                <c:pt idx="22">
                  <c:v>371581.22917303635</c:v>
                </c:pt>
                <c:pt idx="23">
                  <c:v>373186.02738095238</c:v>
                </c:pt>
              </c:numCache>
            </c:numRef>
          </c:val>
          <c:smooth val="0"/>
          <c:extLst>
            <c:ext xmlns:c16="http://schemas.microsoft.com/office/drawing/2014/chart" uri="{C3380CC4-5D6E-409C-BE32-E72D297353CC}">
              <c16:uniqueId val="{00000000-7B51-4355-A6FB-A9AE60DADF67}"/>
            </c:ext>
          </c:extLst>
        </c:ser>
        <c:ser>
          <c:idx val="1"/>
          <c:order val="1"/>
          <c:tx>
            <c:strRef>
              <c:f>CompScModel!$A$7</c:f>
              <c:strCache>
                <c:ptCount val="1"/>
                <c:pt idx="0">
                  <c:v>Оптимистичен сценарий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CompScModel!$I$1:$AF$1</c:f>
              <c:numCache>
                <c:formatCode>General</c:formatCode>
                <c:ptCount val="2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numCache>
            </c:numRef>
          </c:cat>
          <c:val>
            <c:numRef>
              <c:f>CompScModel!$I$7:$AF$7</c:f>
              <c:numCache>
                <c:formatCode>General</c:formatCode>
                <c:ptCount val="24"/>
                <c:pt idx="15">
                  <c:v>306234.66166666668</c:v>
                </c:pt>
                <c:pt idx="16">
                  <c:v>307881.15600349166</c:v>
                </c:pt>
                <c:pt idx="17">
                  <c:v>309144.55554369197</c:v>
                </c:pt>
                <c:pt idx="18">
                  <c:v>310209.65062500001</c:v>
                </c:pt>
                <c:pt idx="19">
                  <c:v>311148.01822897774</c:v>
                </c:pt>
                <c:pt idx="20">
                  <c:v>311996.36738944723</c:v>
                </c:pt>
                <c:pt idx="21">
                  <c:v>312776.50495631102</c:v>
                </c:pt>
                <c:pt idx="22">
                  <c:v>313502.63929864991</c:v>
                </c:pt>
                <c:pt idx="23">
                  <c:v>314184.63958333334</c:v>
                </c:pt>
              </c:numCache>
            </c:numRef>
          </c:val>
          <c:smooth val="0"/>
          <c:extLst>
            <c:ext xmlns:c16="http://schemas.microsoft.com/office/drawing/2014/chart" uri="{C3380CC4-5D6E-409C-BE32-E72D297353CC}">
              <c16:uniqueId val="{00000001-7B51-4355-A6FB-A9AE60DADF67}"/>
            </c:ext>
          </c:extLst>
        </c:ser>
        <c:ser>
          <c:idx val="2"/>
          <c:order val="2"/>
          <c:tx>
            <c:strRef>
              <c:f>CompScModel!$A$8</c:f>
              <c:strCache>
                <c:ptCount val="1"/>
                <c:pt idx="0">
                  <c:v>Песимистичен сценарий </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CompScModel!$I$1:$AF$1</c:f>
              <c:numCache>
                <c:formatCode>General</c:formatCode>
                <c:ptCount val="2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numCache>
            </c:numRef>
          </c:cat>
          <c:val>
            <c:numRef>
              <c:f>CompScModel!$I$8:$AF$8</c:f>
              <c:numCache>
                <c:formatCode>General</c:formatCode>
                <c:ptCount val="24"/>
                <c:pt idx="15">
                  <c:v>339332.46</c:v>
                </c:pt>
                <c:pt idx="16">
                  <c:v>343394.70211182046</c:v>
                </c:pt>
                <c:pt idx="17">
                  <c:v>346511.77011592488</c:v>
                </c:pt>
                <c:pt idx="18">
                  <c:v>349139.58</c:v>
                </c:pt>
                <c:pt idx="19">
                  <c:v>351454.72698349773</c:v>
                </c:pt>
                <c:pt idx="20">
                  <c:v>353547.77984624379</c:v>
                </c:pt>
                <c:pt idx="21">
                  <c:v>355472.5405977678</c:v>
                </c:pt>
                <c:pt idx="22">
                  <c:v>357264.06422364083</c:v>
                </c:pt>
                <c:pt idx="23">
                  <c:v>358946.7</c:v>
                </c:pt>
              </c:numCache>
            </c:numRef>
          </c:val>
          <c:smooth val="0"/>
          <c:extLst>
            <c:ext xmlns:c16="http://schemas.microsoft.com/office/drawing/2014/chart" uri="{C3380CC4-5D6E-409C-BE32-E72D297353CC}">
              <c16:uniqueId val="{00000002-7B51-4355-A6FB-A9AE60DADF67}"/>
            </c:ext>
          </c:extLst>
        </c:ser>
        <c:dLbls>
          <c:showLegendKey val="0"/>
          <c:showVal val="0"/>
          <c:showCatName val="0"/>
          <c:showSerName val="0"/>
          <c:showPercent val="0"/>
          <c:showBubbleSize val="0"/>
        </c:dLbls>
        <c:marker val="1"/>
        <c:smooth val="0"/>
        <c:axId val="1623108335"/>
        <c:axId val="1623102095"/>
      </c:lineChart>
      <c:catAx>
        <c:axId val="16231083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23102095"/>
        <c:crosses val="autoZero"/>
        <c:auto val="1"/>
        <c:lblAlgn val="ctr"/>
        <c:lblOffset val="100"/>
        <c:noMultiLvlLbl val="0"/>
      </c:catAx>
      <c:valAx>
        <c:axId val="16231020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23108335"/>
        <c:crosses val="autoZero"/>
        <c:crossBetween val="between"/>
        <c:dispUnits>
          <c:builtInUnit val="thousands"/>
        </c:dispUnits>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Базов сценарий</c:v>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CompScModel!$I$1:$AF$1</c:f>
              <c:numCache>
                <c:formatCode>General</c:formatCode>
                <c:ptCount val="2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numCache>
            </c:numRef>
          </c:cat>
          <c:val>
            <c:numRef>
              <c:f>CompScModel!$I$15:$AF$15</c:f>
              <c:numCache>
                <c:formatCode>General</c:formatCode>
                <c:ptCount val="24"/>
                <c:pt idx="0">
                  <c:v>38</c:v>
                </c:pt>
                <c:pt idx="1">
                  <c:v>39</c:v>
                </c:pt>
                <c:pt idx="2">
                  <c:v>40</c:v>
                </c:pt>
                <c:pt idx="3">
                  <c:v>40</c:v>
                </c:pt>
                <c:pt idx="4">
                  <c:v>42</c:v>
                </c:pt>
                <c:pt idx="5">
                  <c:v>38.4</c:v>
                </c:pt>
                <c:pt idx="6">
                  <c:v>46.5</c:v>
                </c:pt>
                <c:pt idx="7">
                  <c:v>32.6</c:v>
                </c:pt>
                <c:pt idx="8">
                  <c:v>46.3</c:v>
                </c:pt>
                <c:pt idx="9">
                  <c:v>61.1</c:v>
                </c:pt>
                <c:pt idx="10">
                  <c:v>49.6</c:v>
                </c:pt>
                <c:pt idx="11">
                  <c:v>47.8</c:v>
                </c:pt>
                <c:pt idx="12">
                  <c:v>43.4</c:v>
                </c:pt>
                <c:pt idx="13">
                  <c:v>61.1</c:v>
                </c:pt>
                <c:pt idx="14">
                  <c:v>48.7</c:v>
                </c:pt>
                <c:pt idx="15">
                  <c:v>48.992857142857154</c:v>
                </c:pt>
                <c:pt idx="16">
                  <c:v>49.201319980349091</c:v>
                </c:pt>
                <c:pt idx="17">
                  <c:v>49.361279141547321</c:v>
                </c:pt>
                <c:pt idx="18">
                  <c:v>49.496130952380966</c:v>
                </c:pt>
                <c:pt idx="19">
                  <c:v>49.614937782723864</c:v>
                </c:pt>
                <c:pt idx="20">
                  <c:v>49.722347367573327</c:v>
                </c:pt>
                <c:pt idx="21">
                  <c:v>49.821120674705433</c:v>
                </c:pt>
                <c:pt idx="22">
                  <c:v>49.913056627364831</c:v>
                </c:pt>
                <c:pt idx="23">
                  <c:v>49.999404761904771</c:v>
                </c:pt>
              </c:numCache>
            </c:numRef>
          </c:val>
          <c:smooth val="0"/>
          <c:extLst>
            <c:ext xmlns:c16="http://schemas.microsoft.com/office/drawing/2014/chart" uri="{C3380CC4-5D6E-409C-BE32-E72D297353CC}">
              <c16:uniqueId val="{00000000-6B20-4059-B8D5-C8BDEA439475}"/>
            </c:ext>
          </c:extLst>
        </c:ser>
        <c:ser>
          <c:idx val="1"/>
          <c:order val="1"/>
          <c:tx>
            <c:v>Оптимистичен сценарий</c:v>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CompScModel!$I$1:$AF$1</c:f>
              <c:numCache>
                <c:formatCode>General</c:formatCode>
                <c:ptCount val="2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numCache>
            </c:numRef>
          </c:cat>
          <c:val>
            <c:numRef>
              <c:f>CompScModel!$I$16:$AF$16</c:f>
              <c:numCache>
                <c:formatCode>General</c:formatCode>
                <c:ptCount val="24"/>
                <c:pt idx="15">
                  <c:v>26.286666666666672</c:v>
                </c:pt>
                <c:pt idx="16">
                  <c:v>26.382280963981128</c:v>
                </c:pt>
                <c:pt idx="17">
                  <c:v>26.455648394747154</c:v>
                </c:pt>
                <c:pt idx="18">
                  <c:v>26.517500000000005</c:v>
                </c:pt>
                <c:pt idx="19">
                  <c:v>26.571992358139543</c:v>
                </c:pt>
                <c:pt idx="20">
                  <c:v>26.621257215625789</c:v>
                </c:pt>
                <c:pt idx="21">
                  <c:v>26.666560927637416</c:v>
                </c:pt>
                <c:pt idx="22">
                  <c:v>26.708728594628919</c:v>
                </c:pt>
                <c:pt idx="23">
                  <c:v>26.748333333333342</c:v>
                </c:pt>
              </c:numCache>
            </c:numRef>
          </c:val>
          <c:smooth val="0"/>
          <c:extLst>
            <c:ext xmlns:c16="http://schemas.microsoft.com/office/drawing/2014/chart" uri="{C3380CC4-5D6E-409C-BE32-E72D297353CC}">
              <c16:uniqueId val="{00000001-6B20-4059-B8D5-C8BDEA439475}"/>
            </c:ext>
          </c:extLst>
        </c:ser>
        <c:ser>
          <c:idx val="2"/>
          <c:order val="2"/>
          <c:tx>
            <c:v>Песимистичен сценарий</c:v>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CompScModel!$I$1:$AF$1</c:f>
              <c:numCache>
                <c:formatCode>General</c:formatCode>
                <c:ptCount val="2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numCache>
            </c:numRef>
          </c:cat>
          <c:val>
            <c:numRef>
              <c:f>CompScModel!$I$17:$AF$17</c:f>
              <c:numCache>
                <c:formatCode>General</c:formatCode>
                <c:ptCount val="24"/>
                <c:pt idx="15">
                  <c:v>38.306666666666658</c:v>
                </c:pt>
                <c:pt idx="16">
                  <c:v>38.264554954492063</c:v>
                </c:pt>
                <c:pt idx="17">
                  <c:v>38.23224150123049</c:v>
                </c:pt>
                <c:pt idx="18">
                  <c:v>38.204999999999991</c:v>
                </c:pt>
                <c:pt idx="19">
                  <c:v>38.180999755620846</c:v>
                </c:pt>
                <c:pt idx="20">
                  <c:v>38.159301876150373</c:v>
                </c:pt>
                <c:pt idx="21">
                  <c:v>38.139348616708425</c:v>
                </c:pt>
                <c:pt idx="22">
                  <c:v>38.120776575650794</c:v>
                </c:pt>
                <c:pt idx="23">
                  <c:v>38.103333333333325</c:v>
                </c:pt>
              </c:numCache>
            </c:numRef>
          </c:val>
          <c:smooth val="0"/>
          <c:extLst>
            <c:ext xmlns:c16="http://schemas.microsoft.com/office/drawing/2014/chart" uri="{C3380CC4-5D6E-409C-BE32-E72D297353CC}">
              <c16:uniqueId val="{00000002-6B20-4059-B8D5-C8BDEA439475}"/>
            </c:ext>
          </c:extLst>
        </c:ser>
        <c:dLbls>
          <c:showLegendKey val="0"/>
          <c:showVal val="0"/>
          <c:showCatName val="0"/>
          <c:showSerName val="0"/>
          <c:showPercent val="0"/>
          <c:showBubbleSize val="0"/>
        </c:dLbls>
        <c:marker val="1"/>
        <c:smooth val="0"/>
        <c:axId val="1623066095"/>
        <c:axId val="1623082895"/>
      </c:lineChart>
      <c:catAx>
        <c:axId val="1623066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23082895"/>
        <c:crosses val="autoZero"/>
        <c:auto val="1"/>
        <c:lblAlgn val="ctr"/>
        <c:lblOffset val="100"/>
        <c:noMultiLvlLbl val="0"/>
      </c:catAx>
      <c:valAx>
        <c:axId val="16230828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2306609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09718-AE46-4531-88E7-72F4BF098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46</Pages>
  <Words>11195</Words>
  <Characters>63818</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Petrov</dc:creator>
  <cp:keywords/>
  <dc:description/>
  <cp:lastModifiedBy>Daniel Petrov</cp:lastModifiedBy>
  <cp:revision>58</cp:revision>
  <dcterms:created xsi:type="dcterms:W3CDTF">2026-05-07T06:34:00Z</dcterms:created>
  <dcterms:modified xsi:type="dcterms:W3CDTF">2026-05-08T07:38:00Z</dcterms:modified>
</cp:coreProperties>
</file>